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E23" w:rsidRDefault="00412E23">
      <w:pPr>
        <w:pStyle w:val="BodyText"/>
        <w:rPr>
          <w:rFonts w:ascii="Helvetica"/>
          <w:b/>
          <w:sz w:val="20"/>
        </w:rPr>
      </w:pPr>
    </w:p>
    <w:p w:rsidR="00412E23" w:rsidRDefault="00412E23">
      <w:pPr>
        <w:pStyle w:val="BodyText"/>
        <w:spacing w:before="4"/>
        <w:rPr>
          <w:rFonts w:ascii="Helvetica"/>
          <w:b/>
          <w:sz w:val="18"/>
        </w:rPr>
      </w:pPr>
    </w:p>
    <w:p w:rsidR="00412E23" w:rsidRDefault="008700BE" w:rsidP="006F5157">
      <w:pPr>
        <w:spacing w:before="91"/>
        <w:jc w:val="center"/>
        <w:rPr>
          <w:b/>
          <w:sz w:val="26"/>
        </w:rPr>
      </w:pPr>
      <w:r>
        <w:rPr>
          <w:b/>
          <w:sz w:val="26"/>
        </w:rPr>
        <w:t>IN THE SUPERIOR COURT OF THE VIRGIN ISLANDS</w:t>
      </w:r>
    </w:p>
    <w:p w:rsidR="00412E23" w:rsidRDefault="008700BE" w:rsidP="006F5157">
      <w:pPr>
        <w:pStyle w:val="Heading2"/>
        <w:spacing w:before="1"/>
        <w:ind w:left="0"/>
        <w:jc w:val="center"/>
      </w:pPr>
      <w:bookmarkStart w:id="0" w:name="DIVISION_OF_ST._CROIX"/>
      <w:bookmarkEnd w:id="0"/>
      <w:r>
        <w:t>DIVISION OF ST. CROIX</w:t>
      </w:r>
    </w:p>
    <w:p w:rsidR="00412E23" w:rsidRDefault="00412E23" w:rsidP="006F5157">
      <w:pPr>
        <w:pStyle w:val="BodyText"/>
        <w:spacing w:before="11"/>
        <w:rPr>
          <w:b/>
          <w:sz w:val="23"/>
        </w:rPr>
      </w:pPr>
    </w:p>
    <w:tbl>
      <w:tblPr>
        <w:tblW w:w="0" w:type="auto"/>
        <w:tblInd w:w="100" w:type="dxa"/>
        <w:tblLayout w:type="fixed"/>
        <w:tblCellMar>
          <w:left w:w="0" w:type="dxa"/>
          <w:right w:w="0" w:type="dxa"/>
        </w:tblCellMar>
        <w:tblLook w:val="01E0" w:firstRow="1" w:lastRow="1" w:firstColumn="1" w:lastColumn="1" w:noHBand="0" w:noVBand="0"/>
      </w:tblPr>
      <w:tblGrid>
        <w:gridCol w:w="5352"/>
        <w:gridCol w:w="3313"/>
      </w:tblGrid>
      <w:tr w:rsidR="00412E23">
        <w:trPr>
          <w:trHeight w:val="556"/>
        </w:trPr>
        <w:tc>
          <w:tcPr>
            <w:tcW w:w="5352" w:type="dxa"/>
            <w:tcBorders>
              <w:right w:val="single" w:sz="4" w:space="0" w:color="000000"/>
            </w:tcBorders>
          </w:tcPr>
          <w:p w:rsidR="00412E23" w:rsidRDefault="008700BE" w:rsidP="006F5157">
            <w:pPr>
              <w:pStyle w:val="TableParagraph"/>
              <w:spacing w:line="270" w:lineRule="atLeast"/>
              <w:rPr>
                <w:sz w:val="24"/>
              </w:rPr>
            </w:pPr>
            <w:r>
              <w:rPr>
                <w:b/>
                <w:sz w:val="24"/>
              </w:rPr>
              <w:t>WALEED HAMED</w:t>
            </w:r>
            <w:r>
              <w:rPr>
                <w:sz w:val="24"/>
              </w:rPr>
              <w:t>, as the Executor of the Estate of MOHAMMAD HAMED,</w:t>
            </w:r>
          </w:p>
        </w:tc>
        <w:tc>
          <w:tcPr>
            <w:tcW w:w="3313" w:type="dxa"/>
            <w:tcBorders>
              <w:left w:val="single" w:sz="4" w:space="0" w:color="000000"/>
            </w:tcBorders>
          </w:tcPr>
          <w:p w:rsidR="00412E23" w:rsidRDefault="00412E23" w:rsidP="006F5157">
            <w:pPr>
              <w:pStyle w:val="TableParagraph"/>
              <w:rPr>
                <w:rFonts w:ascii="Times New Roman"/>
                <w:sz w:val="24"/>
              </w:rPr>
            </w:pPr>
          </w:p>
        </w:tc>
      </w:tr>
      <w:tr w:rsidR="00412E23">
        <w:trPr>
          <w:trHeight w:val="275"/>
        </w:trPr>
        <w:tc>
          <w:tcPr>
            <w:tcW w:w="5352" w:type="dxa"/>
            <w:tcBorders>
              <w:right w:val="single" w:sz="4" w:space="0" w:color="000000"/>
            </w:tcBorders>
          </w:tcPr>
          <w:p w:rsidR="00412E23" w:rsidRDefault="00412E23" w:rsidP="006F5157">
            <w:pPr>
              <w:pStyle w:val="TableParagraph"/>
              <w:rPr>
                <w:rFonts w:ascii="Times New Roman"/>
                <w:sz w:val="20"/>
              </w:rPr>
            </w:pPr>
          </w:p>
        </w:tc>
        <w:tc>
          <w:tcPr>
            <w:tcW w:w="3313" w:type="dxa"/>
            <w:tcBorders>
              <w:left w:val="single" w:sz="4" w:space="0" w:color="000000"/>
            </w:tcBorders>
          </w:tcPr>
          <w:p w:rsidR="00412E23" w:rsidRDefault="008700BE" w:rsidP="006F5157">
            <w:pPr>
              <w:pStyle w:val="TableParagraph"/>
              <w:spacing w:line="256" w:lineRule="exact"/>
              <w:rPr>
                <w:b/>
                <w:sz w:val="24"/>
              </w:rPr>
            </w:pPr>
            <w:r>
              <w:rPr>
                <w:b/>
                <w:sz w:val="24"/>
              </w:rPr>
              <w:t>Case No.: SX-2012-CV-370</w:t>
            </w:r>
          </w:p>
        </w:tc>
      </w:tr>
      <w:tr w:rsidR="00412E23">
        <w:trPr>
          <w:trHeight w:val="412"/>
        </w:trPr>
        <w:tc>
          <w:tcPr>
            <w:tcW w:w="5352" w:type="dxa"/>
            <w:tcBorders>
              <w:right w:val="single" w:sz="4" w:space="0" w:color="000000"/>
            </w:tcBorders>
          </w:tcPr>
          <w:p w:rsidR="00412E23" w:rsidRDefault="008700BE" w:rsidP="006F5157">
            <w:pPr>
              <w:pStyle w:val="TableParagraph"/>
              <w:spacing w:line="272" w:lineRule="exact"/>
              <w:rPr>
                <w:sz w:val="24"/>
              </w:rPr>
            </w:pPr>
            <w:r>
              <w:rPr>
                <w:i/>
                <w:sz w:val="24"/>
              </w:rPr>
              <w:t>Plaintiff/Counterclaim Defendant</w:t>
            </w:r>
            <w:r>
              <w:rPr>
                <w:sz w:val="24"/>
              </w:rPr>
              <w:t>,</w:t>
            </w:r>
          </w:p>
        </w:tc>
        <w:tc>
          <w:tcPr>
            <w:tcW w:w="3313" w:type="dxa"/>
            <w:tcBorders>
              <w:left w:val="single" w:sz="4" w:space="0" w:color="000000"/>
            </w:tcBorders>
          </w:tcPr>
          <w:p w:rsidR="00412E23" w:rsidRDefault="00412E23" w:rsidP="006F5157">
            <w:pPr>
              <w:pStyle w:val="TableParagraph"/>
              <w:rPr>
                <w:rFonts w:ascii="Times New Roman"/>
                <w:sz w:val="24"/>
              </w:rPr>
            </w:pPr>
          </w:p>
        </w:tc>
      </w:tr>
      <w:tr w:rsidR="00412E23">
        <w:trPr>
          <w:trHeight w:val="1102"/>
        </w:trPr>
        <w:tc>
          <w:tcPr>
            <w:tcW w:w="5352" w:type="dxa"/>
            <w:tcBorders>
              <w:right w:val="single" w:sz="4" w:space="0" w:color="000000"/>
            </w:tcBorders>
          </w:tcPr>
          <w:p w:rsidR="00412E23" w:rsidRDefault="008700BE" w:rsidP="006F5157">
            <w:pPr>
              <w:pStyle w:val="TableParagraph"/>
              <w:spacing w:before="133"/>
              <w:rPr>
                <w:sz w:val="24"/>
              </w:rPr>
            </w:pPr>
            <w:r>
              <w:rPr>
                <w:sz w:val="24"/>
              </w:rPr>
              <w:t>vs.</w:t>
            </w:r>
          </w:p>
          <w:p w:rsidR="00412E23" w:rsidRDefault="00412E23" w:rsidP="006F5157">
            <w:pPr>
              <w:pStyle w:val="TableParagraph"/>
              <w:spacing w:before="11"/>
              <w:rPr>
                <w:b/>
                <w:sz w:val="23"/>
              </w:rPr>
            </w:pPr>
          </w:p>
          <w:p w:rsidR="00412E23" w:rsidRDefault="008700BE" w:rsidP="006F5157">
            <w:pPr>
              <w:pStyle w:val="TableParagraph"/>
              <w:rPr>
                <w:b/>
                <w:sz w:val="24"/>
              </w:rPr>
            </w:pPr>
            <w:r>
              <w:rPr>
                <w:b/>
                <w:w w:val="105"/>
                <w:sz w:val="24"/>
              </w:rPr>
              <w:t xml:space="preserve">FATHI YUSUF </w:t>
            </w:r>
            <w:r>
              <w:rPr>
                <w:w w:val="105"/>
                <w:sz w:val="24"/>
              </w:rPr>
              <w:t xml:space="preserve">and </w:t>
            </w:r>
            <w:r>
              <w:rPr>
                <w:b/>
                <w:w w:val="105"/>
                <w:sz w:val="24"/>
              </w:rPr>
              <w:t>UNITED CORPORATION</w:t>
            </w:r>
          </w:p>
        </w:tc>
        <w:tc>
          <w:tcPr>
            <w:tcW w:w="3313" w:type="dxa"/>
            <w:tcBorders>
              <w:left w:val="single" w:sz="4" w:space="0" w:color="000000"/>
            </w:tcBorders>
          </w:tcPr>
          <w:p w:rsidR="00412E23" w:rsidRDefault="008700BE" w:rsidP="006F5157">
            <w:pPr>
              <w:pStyle w:val="TableParagraph"/>
              <w:spacing w:before="133"/>
              <w:rPr>
                <w:b/>
                <w:sz w:val="24"/>
              </w:rPr>
            </w:pPr>
            <w:r>
              <w:rPr>
                <w:b/>
                <w:sz w:val="24"/>
              </w:rPr>
              <w:t>ACTION FOR DAMAGES, INJUNCTIVE RELIEF AND DECLARATORY RELIEF</w:t>
            </w:r>
          </w:p>
        </w:tc>
      </w:tr>
      <w:tr w:rsidR="00412E23">
        <w:trPr>
          <w:trHeight w:val="2622"/>
        </w:trPr>
        <w:tc>
          <w:tcPr>
            <w:tcW w:w="5352" w:type="dxa"/>
            <w:tcBorders>
              <w:right w:val="single" w:sz="4" w:space="0" w:color="000000"/>
            </w:tcBorders>
          </w:tcPr>
          <w:p w:rsidR="00412E23" w:rsidRDefault="008700BE" w:rsidP="006F5157">
            <w:pPr>
              <w:pStyle w:val="TableParagraph"/>
              <w:spacing w:before="134" w:line="480" w:lineRule="auto"/>
              <w:rPr>
                <w:sz w:val="24"/>
              </w:rPr>
            </w:pPr>
            <w:r>
              <w:rPr>
                <w:i/>
                <w:sz w:val="24"/>
              </w:rPr>
              <w:t>Defendants and Counterclaimants</w:t>
            </w:r>
            <w:r>
              <w:rPr>
                <w:sz w:val="24"/>
              </w:rPr>
              <w:t>. vs.</w:t>
            </w:r>
          </w:p>
          <w:p w:rsidR="00412E23" w:rsidRDefault="008700BE" w:rsidP="006F5157">
            <w:pPr>
              <w:pStyle w:val="TableParagraph"/>
              <w:rPr>
                <w:sz w:val="24"/>
              </w:rPr>
            </w:pPr>
            <w:r>
              <w:rPr>
                <w:b/>
                <w:w w:val="105"/>
                <w:sz w:val="24"/>
              </w:rPr>
              <w:t>WALEED HAMED, WAHEED HAMED, MUFEED HAMED, HISHAM HAMED, and PLESSEN ENTERPRISES, INC.</w:t>
            </w:r>
            <w:r>
              <w:rPr>
                <w:w w:val="105"/>
                <w:sz w:val="24"/>
              </w:rPr>
              <w:t>,</w:t>
            </w:r>
          </w:p>
          <w:p w:rsidR="00412E23" w:rsidRDefault="00412E23" w:rsidP="006F5157">
            <w:pPr>
              <w:pStyle w:val="TableParagraph"/>
              <w:rPr>
                <w:b/>
                <w:sz w:val="24"/>
              </w:rPr>
            </w:pPr>
          </w:p>
          <w:p w:rsidR="00412E23" w:rsidRDefault="008700BE" w:rsidP="006F5157">
            <w:pPr>
              <w:pStyle w:val="TableParagraph"/>
              <w:spacing w:line="260" w:lineRule="exact"/>
              <w:rPr>
                <w:sz w:val="24"/>
              </w:rPr>
            </w:pPr>
            <w:r>
              <w:rPr>
                <w:i/>
                <w:sz w:val="24"/>
              </w:rPr>
              <w:t>Counterclaim Defendants</w:t>
            </w:r>
            <w:r w:rsidR="002D1906">
              <w:rPr>
                <w:sz w:val="24"/>
              </w:rPr>
              <w:t>.</w:t>
            </w:r>
          </w:p>
        </w:tc>
        <w:tc>
          <w:tcPr>
            <w:tcW w:w="3313" w:type="dxa"/>
            <w:tcBorders>
              <w:left w:val="single" w:sz="4" w:space="0" w:color="000000"/>
            </w:tcBorders>
          </w:tcPr>
          <w:p w:rsidR="00412E23" w:rsidRDefault="008700BE" w:rsidP="006F5157">
            <w:pPr>
              <w:pStyle w:val="TableParagraph"/>
              <w:spacing w:before="134"/>
              <w:rPr>
                <w:sz w:val="24"/>
                <w:u w:val="single"/>
              </w:rPr>
            </w:pPr>
            <w:r>
              <w:rPr>
                <w:sz w:val="24"/>
                <w:u w:val="single"/>
              </w:rPr>
              <w:t>JURY TRIAL DEMANDED</w:t>
            </w:r>
          </w:p>
          <w:p w:rsidR="002D1906" w:rsidRDefault="002D1906" w:rsidP="006F5157">
            <w:pPr>
              <w:pStyle w:val="TableParagraph"/>
              <w:spacing w:before="134"/>
              <w:rPr>
                <w:sz w:val="24"/>
              </w:rPr>
            </w:pPr>
          </w:p>
          <w:p w:rsidR="002D1906" w:rsidRDefault="002D1906" w:rsidP="006F5157">
            <w:pPr>
              <w:pStyle w:val="TableParagraph"/>
              <w:spacing w:before="134"/>
              <w:rPr>
                <w:sz w:val="24"/>
              </w:rPr>
            </w:pPr>
          </w:p>
          <w:p w:rsidR="002D1906" w:rsidRDefault="002D1906" w:rsidP="006F5157">
            <w:pPr>
              <w:pStyle w:val="TableParagraph"/>
              <w:spacing w:before="134"/>
              <w:rPr>
                <w:sz w:val="24"/>
              </w:rPr>
            </w:pPr>
          </w:p>
          <w:p w:rsidR="002D1906" w:rsidRDefault="002D1906" w:rsidP="006F5157">
            <w:pPr>
              <w:pStyle w:val="TableParagraph"/>
              <w:spacing w:before="134"/>
              <w:rPr>
                <w:sz w:val="24"/>
              </w:rPr>
            </w:pPr>
          </w:p>
          <w:p w:rsidR="002D1906" w:rsidRDefault="002D1906" w:rsidP="006F5157">
            <w:pPr>
              <w:pStyle w:val="TableParagraph"/>
              <w:spacing w:before="134"/>
              <w:rPr>
                <w:sz w:val="24"/>
              </w:rPr>
            </w:pPr>
            <w:r>
              <w:rPr>
                <w:sz w:val="24"/>
              </w:rPr>
              <w:t>Consolidated with</w:t>
            </w:r>
          </w:p>
        </w:tc>
      </w:tr>
      <w:tr w:rsidR="00412E23">
        <w:trPr>
          <w:trHeight w:val="1522"/>
        </w:trPr>
        <w:tc>
          <w:tcPr>
            <w:tcW w:w="5352" w:type="dxa"/>
            <w:tcBorders>
              <w:top w:val="single" w:sz="4" w:space="0" w:color="000000"/>
              <w:right w:val="single" w:sz="4" w:space="0" w:color="000000"/>
            </w:tcBorders>
          </w:tcPr>
          <w:p w:rsidR="00412E23" w:rsidRDefault="00412E23" w:rsidP="006F5157">
            <w:pPr>
              <w:pStyle w:val="TableParagraph"/>
              <w:spacing w:before="2"/>
              <w:rPr>
                <w:b/>
                <w:sz w:val="24"/>
              </w:rPr>
            </w:pPr>
          </w:p>
          <w:p w:rsidR="00412E23" w:rsidRDefault="008700BE" w:rsidP="006F5157">
            <w:pPr>
              <w:pStyle w:val="TableParagraph"/>
              <w:rPr>
                <w:i/>
                <w:sz w:val="24"/>
              </w:rPr>
            </w:pPr>
            <w:r>
              <w:rPr>
                <w:b/>
                <w:sz w:val="24"/>
              </w:rPr>
              <w:t>WALEED HAMED</w:t>
            </w:r>
            <w:r>
              <w:rPr>
                <w:sz w:val="24"/>
              </w:rPr>
              <w:t xml:space="preserve">, as the Executor of the Estate of MOHAMMAD HAMED, </w:t>
            </w:r>
            <w:r>
              <w:rPr>
                <w:i/>
                <w:sz w:val="24"/>
              </w:rPr>
              <w:t>Plaintiff,</w:t>
            </w:r>
          </w:p>
          <w:p w:rsidR="00412E23" w:rsidRDefault="00412E23" w:rsidP="006F5157">
            <w:pPr>
              <w:pStyle w:val="TableParagraph"/>
              <w:spacing w:before="9"/>
              <w:rPr>
                <w:b/>
                <w:sz w:val="23"/>
              </w:rPr>
            </w:pPr>
          </w:p>
          <w:p w:rsidR="00412E23" w:rsidRDefault="008700BE" w:rsidP="006F5157">
            <w:pPr>
              <w:pStyle w:val="TableParagraph"/>
              <w:spacing w:before="1"/>
              <w:rPr>
                <w:sz w:val="24"/>
              </w:rPr>
            </w:pPr>
            <w:r>
              <w:rPr>
                <w:sz w:val="24"/>
              </w:rPr>
              <w:t>vs.</w:t>
            </w:r>
          </w:p>
        </w:tc>
        <w:tc>
          <w:tcPr>
            <w:tcW w:w="3313" w:type="dxa"/>
            <w:tcBorders>
              <w:left w:val="single" w:sz="4" w:space="0" w:color="000000"/>
            </w:tcBorders>
          </w:tcPr>
          <w:p w:rsidR="00412E23" w:rsidRDefault="00412E23" w:rsidP="006F5157">
            <w:pPr>
              <w:pStyle w:val="TableParagraph"/>
              <w:spacing w:before="2"/>
              <w:rPr>
                <w:b/>
                <w:sz w:val="24"/>
              </w:rPr>
            </w:pPr>
          </w:p>
          <w:p w:rsidR="00412E23" w:rsidRDefault="008700BE" w:rsidP="006F5157">
            <w:pPr>
              <w:pStyle w:val="TableParagraph"/>
              <w:rPr>
                <w:b/>
                <w:sz w:val="24"/>
              </w:rPr>
            </w:pPr>
            <w:r>
              <w:rPr>
                <w:b/>
                <w:sz w:val="24"/>
              </w:rPr>
              <w:t>Case No.: SX-2014-CV-287</w:t>
            </w:r>
          </w:p>
        </w:tc>
      </w:tr>
      <w:tr w:rsidR="00412E23">
        <w:trPr>
          <w:trHeight w:val="414"/>
        </w:trPr>
        <w:tc>
          <w:tcPr>
            <w:tcW w:w="5352" w:type="dxa"/>
            <w:tcBorders>
              <w:right w:val="single" w:sz="4" w:space="0" w:color="000000"/>
            </w:tcBorders>
          </w:tcPr>
          <w:p w:rsidR="00412E23" w:rsidRDefault="008700BE" w:rsidP="006F5157">
            <w:pPr>
              <w:pStyle w:val="TableParagraph"/>
              <w:spacing w:before="134" w:line="260" w:lineRule="exact"/>
              <w:rPr>
                <w:i/>
                <w:sz w:val="24"/>
              </w:rPr>
            </w:pPr>
            <w:r>
              <w:rPr>
                <w:b/>
                <w:w w:val="105"/>
                <w:sz w:val="24"/>
              </w:rPr>
              <w:t xml:space="preserve">UNITED CORPORATION, </w:t>
            </w:r>
            <w:r>
              <w:rPr>
                <w:i/>
                <w:w w:val="105"/>
                <w:sz w:val="24"/>
              </w:rPr>
              <w:t>Defendant.</w:t>
            </w:r>
          </w:p>
        </w:tc>
        <w:tc>
          <w:tcPr>
            <w:tcW w:w="3313" w:type="dxa"/>
            <w:tcBorders>
              <w:left w:val="single" w:sz="4" w:space="0" w:color="000000"/>
            </w:tcBorders>
          </w:tcPr>
          <w:p w:rsidR="00412E23" w:rsidRDefault="00412E23" w:rsidP="006F5157">
            <w:pPr>
              <w:pStyle w:val="TableParagraph"/>
              <w:rPr>
                <w:rFonts w:ascii="Times New Roman"/>
                <w:sz w:val="24"/>
              </w:rPr>
            </w:pPr>
          </w:p>
        </w:tc>
      </w:tr>
      <w:tr w:rsidR="00412E23">
        <w:trPr>
          <w:trHeight w:val="2070"/>
        </w:trPr>
        <w:tc>
          <w:tcPr>
            <w:tcW w:w="5352" w:type="dxa"/>
            <w:tcBorders>
              <w:right w:val="single" w:sz="4" w:space="0" w:color="000000"/>
            </w:tcBorders>
          </w:tcPr>
          <w:p w:rsidR="00412E23" w:rsidRDefault="008700BE" w:rsidP="006F5157">
            <w:pPr>
              <w:pStyle w:val="TableParagraph"/>
              <w:tabs>
                <w:tab w:val="left" w:pos="5315"/>
              </w:tabs>
              <w:spacing w:line="272" w:lineRule="exact"/>
              <w:rPr>
                <w:sz w:val="24"/>
              </w:rPr>
            </w:pPr>
            <w:r>
              <w:rPr>
                <w:sz w:val="24"/>
                <w:u w:val="single"/>
              </w:rPr>
              <w:t xml:space="preserve"> </w:t>
            </w:r>
            <w:r>
              <w:rPr>
                <w:sz w:val="24"/>
                <w:u w:val="single"/>
              </w:rPr>
              <w:tab/>
            </w:r>
          </w:p>
          <w:p w:rsidR="00412E23" w:rsidRDefault="00412E23" w:rsidP="006F5157">
            <w:pPr>
              <w:pStyle w:val="TableParagraph"/>
              <w:rPr>
                <w:b/>
                <w:sz w:val="24"/>
              </w:rPr>
            </w:pPr>
          </w:p>
          <w:p w:rsidR="00412E23" w:rsidRDefault="008700BE" w:rsidP="006F5157">
            <w:pPr>
              <w:pStyle w:val="TableParagraph"/>
              <w:rPr>
                <w:i/>
                <w:sz w:val="24"/>
              </w:rPr>
            </w:pPr>
            <w:r>
              <w:rPr>
                <w:b/>
                <w:sz w:val="24"/>
              </w:rPr>
              <w:t>WALEED HAMED</w:t>
            </w:r>
            <w:r>
              <w:rPr>
                <w:sz w:val="24"/>
              </w:rPr>
              <w:t xml:space="preserve">, as the Executor of the Estate of MOHAMMAD HAMED, </w:t>
            </w:r>
            <w:r>
              <w:rPr>
                <w:i/>
                <w:sz w:val="24"/>
              </w:rPr>
              <w:t>Plaintiff</w:t>
            </w:r>
          </w:p>
          <w:p w:rsidR="00412E23" w:rsidRDefault="008700BE" w:rsidP="006F5157">
            <w:pPr>
              <w:pStyle w:val="TableParagraph"/>
              <w:spacing w:before="139"/>
              <w:rPr>
                <w:sz w:val="24"/>
              </w:rPr>
            </w:pPr>
            <w:r>
              <w:rPr>
                <w:sz w:val="24"/>
              </w:rPr>
              <w:t>vs.</w:t>
            </w:r>
          </w:p>
          <w:p w:rsidR="00412E23" w:rsidRDefault="008700BE" w:rsidP="006F5157">
            <w:pPr>
              <w:pStyle w:val="TableParagraph"/>
              <w:spacing w:before="137"/>
              <w:rPr>
                <w:i/>
                <w:sz w:val="24"/>
              </w:rPr>
            </w:pPr>
            <w:r>
              <w:rPr>
                <w:b/>
                <w:sz w:val="24"/>
              </w:rPr>
              <w:t>FATHI YUSUF</w:t>
            </w:r>
            <w:r>
              <w:rPr>
                <w:sz w:val="24"/>
              </w:rPr>
              <w:t xml:space="preserve">, </w:t>
            </w:r>
            <w:r>
              <w:rPr>
                <w:i/>
                <w:sz w:val="24"/>
              </w:rPr>
              <w:t>Defendant.</w:t>
            </w:r>
          </w:p>
        </w:tc>
        <w:tc>
          <w:tcPr>
            <w:tcW w:w="3313" w:type="dxa"/>
            <w:tcBorders>
              <w:left w:val="single" w:sz="4" w:space="0" w:color="000000"/>
            </w:tcBorders>
          </w:tcPr>
          <w:p w:rsidR="00412E23" w:rsidRDefault="008700BE" w:rsidP="006F5157">
            <w:pPr>
              <w:pStyle w:val="TableParagraph"/>
              <w:spacing w:line="272" w:lineRule="exact"/>
              <w:rPr>
                <w:sz w:val="24"/>
              </w:rPr>
            </w:pPr>
            <w:r>
              <w:rPr>
                <w:sz w:val="24"/>
              </w:rPr>
              <w:t>Consolidated with</w:t>
            </w:r>
          </w:p>
          <w:p w:rsidR="00412E23" w:rsidRDefault="00412E23" w:rsidP="006F5157">
            <w:pPr>
              <w:pStyle w:val="TableParagraph"/>
              <w:rPr>
                <w:b/>
                <w:sz w:val="24"/>
              </w:rPr>
            </w:pPr>
          </w:p>
          <w:p w:rsidR="00412E23" w:rsidRDefault="008700BE" w:rsidP="006F5157">
            <w:pPr>
              <w:pStyle w:val="TableParagraph"/>
              <w:rPr>
                <w:b/>
                <w:sz w:val="24"/>
              </w:rPr>
            </w:pPr>
            <w:r>
              <w:rPr>
                <w:b/>
                <w:sz w:val="24"/>
              </w:rPr>
              <w:t>Case No.: SX-2014-CV-278</w:t>
            </w:r>
          </w:p>
        </w:tc>
      </w:tr>
      <w:tr w:rsidR="00412E23">
        <w:trPr>
          <w:trHeight w:val="483"/>
        </w:trPr>
        <w:tc>
          <w:tcPr>
            <w:tcW w:w="5352" w:type="dxa"/>
            <w:tcBorders>
              <w:right w:val="single" w:sz="4" w:space="0" w:color="000000"/>
            </w:tcBorders>
          </w:tcPr>
          <w:p w:rsidR="00412E23" w:rsidRDefault="00493275" w:rsidP="006F5157">
            <w:pPr>
              <w:pStyle w:val="TableParagraph"/>
              <w:rPr>
                <w:rFonts w:ascii="Times New Roman"/>
                <w:sz w:val="24"/>
              </w:rPr>
            </w:pPr>
            <w:r>
              <w:rPr>
                <w:rFonts w:ascii="Times New Roman"/>
                <w:sz w:val="24"/>
              </w:rPr>
              <w:t>____________________________________________</w:t>
            </w:r>
          </w:p>
        </w:tc>
        <w:tc>
          <w:tcPr>
            <w:tcW w:w="3313" w:type="dxa"/>
            <w:tcBorders>
              <w:left w:val="single" w:sz="4" w:space="0" w:color="000000"/>
            </w:tcBorders>
          </w:tcPr>
          <w:p w:rsidR="00412E23" w:rsidRDefault="008700BE" w:rsidP="006F5157">
            <w:pPr>
              <w:pStyle w:val="TableParagraph"/>
              <w:spacing w:before="134"/>
              <w:rPr>
                <w:sz w:val="24"/>
              </w:rPr>
            </w:pPr>
            <w:r>
              <w:rPr>
                <w:sz w:val="24"/>
              </w:rPr>
              <w:t>Consolidated with</w:t>
            </w:r>
          </w:p>
        </w:tc>
      </w:tr>
      <w:tr w:rsidR="00412E23">
        <w:trPr>
          <w:trHeight w:val="482"/>
        </w:trPr>
        <w:tc>
          <w:tcPr>
            <w:tcW w:w="5352" w:type="dxa"/>
            <w:tcBorders>
              <w:right w:val="single" w:sz="4" w:space="0" w:color="000000"/>
            </w:tcBorders>
          </w:tcPr>
          <w:p w:rsidR="00412E23" w:rsidRDefault="008700BE" w:rsidP="006F5157">
            <w:pPr>
              <w:pStyle w:val="TableParagraph"/>
              <w:spacing w:before="65"/>
              <w:rPr>
                <w:sz w:val="24"/>
              </w:rPr>
            </w:pPr>
            <w:r>
              <w:rPr>
                <w:b/>
                <w:sz w:val="24"/>
              </w:rPr>
              <w:t>FATHI YUSUF</w:t>
            </w:r>
            <w:r>
              <w:rPr>
                <w:sz w:val="24"/>
              </w:rPr>
              <w:t xml:space="preserve">, </w:t>
            </w:r>
            <w:r>
              <w:rPr>
                <w:i/>
                <w:sz w:val="24"/>
              </w:rPr>
              <w:t>Plaintiff</w:t>
            </w:r>
            <w:r>
              <w:rPr>
                <w:sz w:val="24"/>
              </w:rPr>
              <w:t>,</w:t>
            </w:r>
          </w:p>
        </w:tc>
        <w:tc>
          <w:tcPr>
            <w:tcW w:w="3313" w:type="dxa"/>
            <w:tcBorders>
              <w:left w:val="single" w:sz="4" w:space="0" w:color="000000"/>
            </w:tcBorders>
          </w:tcPr>
          <w:p w:rsidR="00412E23" w:rsidRDefault="008700BE" w:rsidP="006F5157">
            <w:pPr>
              <w:pStyle w:val="TableParagraph"/>
              <w:spacing w:before="202" w:line="260" w:lineRule="exact"/>
              <w:rPr>
                <w:b/>
                <w:sz w:val="24"/>
              </w:rPr>
            </w:pPr>
            <w:r>
              <w:rPr>
                <w:b/>
                <w:sz w:val="24"/>
              </w:rPr>
              <w:t>Case No.: ST-17-CV-384</w:t>
            </w:r>
          </w:p>
        </w:tc>
      </w:tr>
      <w:tr w:rsidR="00412E23">
        <w:trPr>
          <w:trHeight w:val="345"/>
        </w:trPr>
        <w:tc>
          <w:tcPr>
            <w:tcW w:w="5352" w:type="dxa"/>
            <w:tcBorders>
              <w:right w:val="single" w:sz="4" w:space="0" w:color="000000"/>
            </w:tcBorders>
          </w:tcPr>
          <w:p w:rsidR="00412E23" w:rsidRDefault="008700BE" w:rsidP="006F5157">
            <w:pPr>
              <w:pStyle w:val="TableParagraph"/>
              <w:spacing w:line="272" w:lineRule="exact"/>
              <w:rPr>
                <w:sz w:val="24"/>
              </w:rPr>
            </w:pPr>
            <w:r>
              <w:rPr>
                <w:sz w:val="24"/>
              </w:rPr>
              <w:t>vs.</w:t>
            </w:r>
          </w:p>
        </w:tc>
        <w:tc>
          <w:tcPr>
            <w:tcW w:w="3313" w:type="dxa"/>
            <w:tcBorders>
              <w:left w:val="single" w:sz="4" w:space="0" w:color="000000"/>
            </w:tcBorders>
          </w:tcPr>
          <w:p w:rsidR="00412E23" w:rsidRDefault="00412E23" w:rsidP="006F5157">
            <w:pPr>
              <w:pStyle w:val="TableParagraph"/>
              <w:rPr>
                <w:rFonts w:ascii="Times New Roman"/>
                <w:sz w:val="24"/>
              </w:rPr>
            </w:pPr>
          </w:p>
        </w:tc>
      </w:tr>
      <w:tr w:rsidR="00412E23">
        <w:trPr>
          <w:trHeight w:val="405"/>
        </w:trPr>
        <w:tc>
          <w:tcPr>
            <w:tcW w:w="5352" w:type="dxa"/>
            <w:tcBorders>
              <w:right w:val="single" w:sz="4" w:space="0" w:color="000000"/>
            </w:tcBorders>
          </w:tcPr>
          <w:p w:rsidR="002D1906" w:rsidRDefault="008700BE" w:rsidP="006F5157">
            <w:pPr>
              <w:pStyle w:val="TableParagraph"/>
              <w:spacing w:before="65"/>
              <w:rPr>
                <w:i/>
                <w:sz w:val="24"/>
              </w:rPr>
            </w:pPr>
            <w:r>
              <w:rPr>
                <w:b/>
                <w:sz w:val="24"/>
              </w:rPr>
              <w:t>MOHAMMAD HAMED TRUST</w:t>
            </w:r>
            <w:r>
              <w:rPr>
                <w:i/>
                <w:sz w:val="24"/>
              </w:rPr>
              <w:t>, et al,</w:t>
            </w:r>
            <w:r w:rsidR="002D1906">
              <w:rPr>
                <w:i/>
                <w:sz w:val="24"/>
              </w:rPr>
              <w:t xml:space="preserve"> Defendants.</w:t>
            </w:r>
          </w:p>
          <w:p w:rsidR="00412E23" w:rsidRDefault="002D1906" w:rsidP="006F5157">
            <w:pPr>
              <w:pStyle w:val="TableParagraph"/>
              <w:spacing w:before="65"/>
              <w:rPr>
                <w:i/>
                <w:sz w:val="24"/>
              </w:rPr>
            </w:pPr>
            <w:r>
              <w:rPr>
                <w:rFonts w:ascii="Times New Roman"/>
                <w:sz w:val="24"/>
              </w:rPr>
              <w:t>____________________________________________</w:t>
            </w:r>
          </w:p>
        </w:tc>
        <w:tc>
          <w:tcPr>
            <w:tcW w:w="3313" w:type="dxa"/>
            <w:tcBorders>
              <w:left w:val="single" w:sz="4" w:space="0" w:color="000000"/>
            </w:tcBorders>
          </w:tcPr>
          <w:p w:rsidR="00412E23" w:rsidRDefault="00412E23" w:rsidP="006F5157">
            <w:pPr>
              <w:pStyle w:val="TableParagraph"/>
              <w:rPr>
                <w:rFonts w:ascii="Times New Roman"/>
                <w:sz w:val="24"/>
              </w:rPr>
            </w:pPr>
          </w:p>
          <w:p w:rsidR="002D1906" w:rsidRDefault="002D1906" w:rsidP="006F5157">
            <w:pPr>
              <w:pStyle w:val="TableParagraph"/>
              <w:rPr>
                <w:rFonts w:ascii="Times New Roman"/>
                <w:sz w:val="24"/>
              </w:rPr>
            </w:pPr>
          </w:p>
        </w:tc>
      </w:tr>
    </w:tbl>
    <w:p w:rsidR="00412E23" w:rsidRDefault="00412E23" w:rsidP="006F5157">
      <w:pPr>
        <w:pStyle w:val="BodyText"/>
        <w:spacing w:before="7"/>
        <w:rPr>
          <w:b/>
          <w:sz w:val="23"/>
        </w:rPr>
      </w:pPr>
    </w:p>
    <w:p w:rsidR="00412E23" w:rsidRDefault="008700BE" w:rsidP="00493275">
      <w:pPr>
        <w:jc w:val="center"/>
        <w:rPr>
          <w:b/>
          <w:sz w:val="24"/>
        </w:rPr>
      </w:pPr>
      <w:bookmarkStart w:id="1" w:name="_GoBack"/>
      <w:r>
        <w:rPr>
          <w:b/>
          <w:sz w:val="24"/>
        </w:rPr>
        <w:t>HAMED'S MOTION TO STRIKE CLAIM Y-</w:t>
      </w:r>
      <w:r w:rsidR="00443DF4">
        <w:rPr>
          <w:b/>
          <w:sz w:val="24"/>
        </w:rPr>
        <w:t>8</w:t>
      </w:r>
      <w:r>
        <w:rPr>
          <w:b/>
          <w:sz w:val="24"/>
        </w:rPr>
        <w:t xml:space="preserve"> ON PROCEDURAL GROUNDS:</w:t>
      </w:r>
    </w:p>
    <w:p w:rsidR="008A38E0" w:rsidRDefault="00443DF4" w:rsidP="00493275">
      <w:pPr>
        <w:jc w:val="center"/>
        <w:rPr>
          <w:b/>
          <w:sz w:val="24"/>
        </w:rPr>
      </w:pPr>
      <w:r>
        <w:rPr>
          <w:b/>
          <w:sz w:val="24"/>
        </w:rPr>
        <w:t xml:space="preserve">UNITED'S SEPARATE </w:t>
      </w:r>
      <w:r w:rsidR="00CA427C">
        <w:rPr>
          <w:b/>
          <w:sz w:val="24"/>
        </w:rPr>
        <w:t>CONTRACT</w:t>
      </w:r>
      <w:r>
        <w:rPr>
          <w:b/>
          <w:sz w:val="24"/>
        </w:rPr>
        <w:t xml:space="preserve"> CLAIM</w:t>
      </w:r>
      <w:r w:rsidR="000D3834">
        <w:rPr>
          <w:b/>
          <w:sz w:val="24"/>
        </w:rPr>
        <w:t xml:space="preserve"> </w:t>
      </w:r>
      <w:r>
        <w:rPr>
          <w:b/>
          <w:sz w:val="24"/>
        </w:rPr>
        <w:t>FOR WATER SALES TO THE PARTNERSHIP</w:t>
      </w:r>
    </w:p>
    <w:p w:rsidR="000D3834" w:rsidRDefault="000D3834" w:rsidP="00493275">
      <w:pPr>
        <w:jc w:val="center"/>
        <w:rPr>
          <w:b/>
          <w:sz w:val="24"/>
        </w:rPr>
      </w:pPr>
      <w:r>
        <w:rPr>
          <w:b/>
          <w:sz w:val="24"/>
        </w:rPr>
        <w:t>VIOLATES THE STATUTE OF LIMITATION AND THE STATUTE OF FRAUDS</w:t>
      </w:r>
      <w:bookmarkEnd w:id="1"/>
    </w:p>
    <w:p w:rsidR="008A38E0" w:rsidRDefault="008A38E0">
      <w:pPr>
        <w:rPr>
          <w:b/>
          <w:sz w:val="24"/>
        </w:rPr>
      </w:pPr>
      <w:r>
        <w:rPr>
          <w:b/>
          <w:sz w:val="24"/>
        </w:rPr>
        <w:br w:type="page"/>
      </w:r>
    </w:p>
    <w:p w:rsidR="009A57D4" w:rsidRPr="009A57D4" w:rsidRDefault="009A57D4" w:rsidP="00AC5366">
      <w:pPr>
        <w:widowControl/>
        <w:spacing w:line="480" w:lineRule="auto"/>
        <w:jc w:val="both"/>
        <w:rPr>
          <w:b/>
          <w:sz w:val="24"/>
        </w:rPr>
      </w:pPr>
      <w:bookmarkStart w:id="2" w:name="Yusuf_has_raised_as_one_of_his_claims,_d"/>
      <w:bookmarkEnd w:id="2"/>
      <w:r w:rsidRPr="009A57D4">
        <w:rPr>
          <w:b/>
          <w:sz w:val="24"/>
        </w:rPr>
        <w:lastRenderedPageBreak/>
        <w:t>I. Introduction</w:t>
      </w:r>
    </w:p>
    <w:p w:rsidR="00AC5366" w:rsidRDefault="00AC5366" w:rsidP="00AC5366">
      <w:pPr>
        <w:widowControl/>
        <w:spacing w:line="480" w:lineRule="auto"/>
        <w:jc w:val="both"/>
        <w:rPr>
          <w:rFonts w:eastAsia="Times New Roman"/>
          <w:sz w:val="24"/>
          <w:lang w:bidi="ar-SA"/>
        </w:rPr>
      </w:pPr>
      <w:r>
        <w:rPr>
          <w:sz w:val="24"/>
        </w:rPr>
        <w:tab/>
        <w:t>In its counterclaim</w:t>
      </w:r>
      <w:r w:rsidR="000D3834">
        <w:rPr>
          <w:sz w:val="24"/>
        </w:rPr>
        <w:t xml:space="preserve"> (via </w:t>
      </w:r>
      <w:r w:rsidR="00616941">
        <w:rPr>
          <w:sz w:val="24"/>
        </w:rPr>
        <w:t>the</w:t>
      </w:r>
      <w:r w:rsidR="000D3834">
        <w:rPr>
          <w:sz w:val="24"/>
        </w:rPr>
        <w:t xml:space="preserve"> </w:t>
      </w:r>
      <w:r w:rsidR="000D3834" w:rsidRPr="000D3834">
        <w:rPr>
          <w:i/>
          <w:sz w:val="24"/>
        </w:rPr>
        <w:t>Revised Claims</w:t>
      </w:r>
      <w:r w:rsidR="000D3834">
        <w:rPr>
          <w:sz w:val="24"/>
        </w:rPr>
        <w:t>)</w:t>
      </w:r>
      <w:r>
        <w:rPr>
          <w:sz w:val="24"/>
        </w:rPr>
        <w:t>, United</w:t>
      </w:r>
      <w:r w:rsidR="00616941">
        <w:rPr>
          <w:sz w:val="24"/>
        </w:rPr>
        <w:t xml:space="preserve"> </w:t>
      </w:r>
      <w:r w:rsidR="003E5280">
        <w:rPr>
          <w:sz w:val="24"/>
        </w:rPr>
        <w:t xml:space="preserve">Corporation ("United") </w:t>
      </w:r>
      <w:r w:rsidR="00616941">
        <w:rPr>
          <w:sz w:val="24"/>
        </w:rPr>
        <w:t>asserts</w:t>
      </w:r>
      <w:r w:rsidR="00CC6321">
        <w:rPr>
          <w:sz w:val="24"/>
        </w:rPr>
        <w:t xml:space="preserve"> </w:t>
      </w:r>
      <w:r w:rsidR="008700BE" w:rsidRPr="00AC5366">
        <w:rPr>
          <w:sz w:val="24"/>
        </w:rPr>
        <w:t xml:space="preserve">a </w:t>
      </w:r>
      <w:r w:rsidR="00CA427C" w:rsidRPr="00CA427C">
        <w:rPr>
          <w:sz w:val="24"/>
        </w:rPr>
        <w:t>contract</w:t>
      </w:r>
      <w:r w:rsidRPr="00CA427C">
        <w:rPr>
          <w:sz w:val="24"/>
        </w:rPr>
        <w:t xml:space="preserve"> </w:t>
      </w:r>
      <w:r w:rsidR="008700BE" w:rsidRPr="00AC5366">
        <w:rPr>
          <w:sz w:val="24"/>
        </w:rPr>
        <w:t xml:space="preserve">claim </w:t>
      </w:r>
      <w:r w:rsidR="00616941">
        <w:rPr>
          <w:sz w:val="24"/>
        </w:rPr>
        <w:t xml:space="preserve">(Y-8) </w:t>
      </w:r>
      <w:r w:rsidR="00715DDC">
        <w:rPr>
          <w:sz w:val="24"/>
        </w:rPr>
        <w:t xml:space="preserve">in the amount of </w:t>
      </w:r>
      <w:r w:rsidRPr="00AC5366">
        <w:rPr>
          <w:rFonts w:eastAsia="Times New Roman"/>
          <w:sz w:val="24"/>
          <w:lang w:bidi="ar-SA"/>
        </w:rPr>
        <w:t>$693,207.46</w:t>
      </w:r>
      <w:r w:rsidR="00616941">
        <w:rPr>
          <w:rFonts w:eastAsia="Times New Roman"/>
          <w:sz w:val="24"/>
          <w:lang w:bidi="ar-SA"/>
        </w:rPr>
        <w:t>.</w:t>
      </w:r>
      <w:r>
        <w:rPr>
          <w:rFonts w:eastAsia="Times New Roman"/>
          <w:sz w:val="24"/>
          <w:lang w:bidi="ar-SA"/>
        </w:rPr>
        <w:t xml:space="preserve">  This is solely a </w:t>
      </w:r>
      <w:r w:rsidRPr="00493275">
        <w:rPr>
          <w:rFonts w:eastAsia="Times New Roman"/>
          <w:i/>
          <w:sz w:val="24"/>
          <w:u w:val="single"/>
          <w:lang w:bidi="ar-SA"/>
        </w:rPr>
        <w:t>United</w:t>
      </w:r>
      <w:r>
        <w:rPr>
          <w:rFonts w:eastAsia="Times New Roman"/>
          <w:sz w:val="24"/>
          <w:lang w:bidi="ar-SA"/>
        </w:rPr>
        <w:t xml:space="preserve"> claim.  It has nothing to do with Hamed's and Yusuf's internal relationship in the </w:t>
      </w:r>
      <w:r w:rsidR="00493275">
        <w:rPr>
          <w:rFonts w:eastAsia="Times New Roman"/>
          <w:sz w:val="24"/>
          <w:lang w:bidi="ar-SA"/>
        </w:rPr>
        <w:t>P</w:t>
      </w:r>
      <w:r>
        <w:rPr>
          <w:rFonts w:eastAsia="Times New Roman"/>
          <w:sz w:val="24"/>
          <w:lang w:bidi="ar-SA"/>
        </w:rPr>
        <w:t xml:space="preserve">artnership.  It </w:t>
      </w:r>
      <w:r w:rsidR="00616941">
        <w:rPr>
          <w:rFonts w:eastAsia="Times New Roman"/>
          <w:sz w:val="24"/>
          <w:lang w:bidi="ar-SA"/>
        </w:rPr>
        <w:t>is based on</w:t>
      </w:r>
      <w:r>
        <w:rPr>
          <w:rFonts w:eastAsia="Times New Roman"/>
          <w:sz w:val="24"/>
          <w:lang w:bidi="ar-SA"/>
        </w:rPr>
        <w:t xml:space="preserve"> a</w:t>
      </w:r>
      <w:r w:rsidR="00CA427C">
        <w:rPr>
          <w:rFonts w:eastAsia="Times New Roman"/>
          <w:sz w:val="24"/>
          <w:lang w:bidi="ar-SA"/>
        </w:rPr>
        <w:t>n alleged</w:t>
      </w:r>
      <w:r>
        <w:rPr>
          <w:rFonts w:eastAsia="Times New Roman"/>
          <w:sz w:val="24"/>
          <w:lang w:bidi="ar-SA"/>
        </w:rPr>
        <w:t xml:space="preserve"> </w:t>
      </w:r>
      <w:r w:rsidR="00493275">
        <w:rPr>
          <w:rFonts w:eastAsia="Times New Roman"/>
          <w:sz w:val="24"/>
          <w:lang w:bidi="ar-SA"/>
        </w:rPr>
        <w:t xml:space="preserve">vendor </w:t>
      </w:r>
      <w:r w:rsidR="00CA427C">
        <w:rPr>
          <w:rFonts w:eastAsia="Times New Roman"/>
          <w:sz w:val="24"/>
          <w:lang w:bidi="ar-SA"/>
        </w:rPr>
        <w:t>contract</w:t>
      </w:r>
      <w:r>
        <w:rPr>
          <w:rFonts w:eastAsia="Times New Roman"/>
          <w:sz w:val="24"/>
          <w:lang w:bidi="ar-SA"/>
        </w:rPr>
        <w:t xml:space="preserve"> </w:t>
      </w:r>
      <w:r w:rsidR="003E5280">
        <w:rPr>
          <w:rFonts w:eastAsia="Times New Roman"/>
          <w:sz w:val="24"/>
          <w:lang w:bidi="ar-SA"/>
        </w:rPr>
        <w:t xml:space="preserve">pursuant to which </w:t>
      </w:r>
      <w:r>
        <w:rPr>
          <w:rFonts w:eastAsia="Times New Roman"/>
          <w:sz w:val="24"/>
          <w:lang w:bidi="ar-SA"/>
        </w:rPr>
        <w:t xml:space="preserve">United </w:t>
      </w:r>
      <w:r w:rsidR="003E5280">
        <w:rPr>
          <w:rFonts w:eastAsia="Times New Roman"/>
          <w:sz w:val="24"/>
          <w:lang w:bidi="ar-SA"/>
        </w:rPr>
        <w:t>would</w:t>
      </w:r>
      <w:r w:rsidR="006230E6">
        <w:rPr>
          <w:rFonts w:eastAsia="Times New Roman"/>
          <w:sz w:val="24"/>
          <w:lang w:bidi="ar-SA"/>
        </w:rPr>
        <w:t xml:space="preserve"> supply water </w:t>
      </w:r>
      <w:r w:rsidR="003E5280">
        <w:rPr>
          <w:rFonts w:eastAsia="Times New Roman"/>
          <w:sz w:val="24"/>
          <w:lang w:bidi="ar-SA"/>
        </w:rPr>
        <w:t xml:space="preserve">for sale at a Plaza Extra supermarket, </w:t>
      </w:r>
      <w:r w:rsidR="006230E6">
        <w:rPr>
          <w:rFonts w:eastAsia="Times New Roman"/>
          <w:sz w:val="24"/>
          <w:lang w:bidi="ar-SA"/>
        </w:rPr>
        <w:t xml:space="preserve">for which </w:t>
      </w:r>
      <w:r w:rsidR="00E82908">
        <w:rPr>
          <w:rFonts w:eastAsia="Times New Roman"/>
          <w:sz w:val="24"/>
          <w:lang w:bidi="ar-SA"/>
        </w:rPr>
        <w:t>United</w:t>
      </w:r>
      <w:r w:rsidR="006230E6">
        <w:rPr>
          <w:rFonts w:eastAsia="Times New Roman"/>
          <w:sz w:val="24"/>
          <w:lang w:bidi="ar-SA"/>
        </w:rPr>
        <w:t xml:space="preserve"> would be paid. </w:t>
      </w:r>
      <w:r w:rsidR="00CA427C">
        <w:rPr>
          <w:rFonts w:eastAsia="Times New Roman"/>
          <w:sz w:val="24"/>
          <w:lang w:bidi="ar-SA"/>
        </w:rPr>
        <w:t xml:space="preserve"> </w:t>
      </w:r>
      <w:r w:rsidR="00493275">
        <w:rPr>
          <w:rFonts w:eastAsia="Times New Roman"/>
          <w:sz w:val="24"/>
          <w:lang w:bidi="ar-SA"/>
        </w:rPr>
        <w:t xml:space="preserve">Although </w:t>
      </w:r>
      <w:r w:rsidR="00CA427C">
        <w:rPr>
          <w:rFonts w:eastAsia="Times New Roman"/>
          <w:sz w:val="24"/>
          <w:lang w:bidi="ar-SA"/>
        </w:rPr>
        <w:t xml:space="preserve">Hamed has asserted that this </w:t>
      </w:r>
      <w:r w:rsidR="003E5280">
        <w:rPr>
          <w:rFonts w:eastAsia="Times New Roman"/>
          <w:sz w:val="24"/>
          <w:lang w:bidi="ar-SA"/>
        </w:rPr>
        <w:t>was</w:t>
      </w:r>
      <w:r w:rsidR="00CA427C">
        <w:rPr>
          <w:rFonts w:eastAsia="Times New Roman"/>
          <w:sz w:val="24"/>
          <w:lang w:bidi="ar-SA"/>
        </w:rPr>
        <w:t xml:space="preserve"> actually the Partnership's </w:t>
      </w:r>
      <w:r w:rsidR="003E5280">
        <w:rPr>
          <w:rFonts w:eastAsia="Times New Roman"/>
          <w:sz w:val="24"/>
          <w:lang w:bidi="ar-SA"/>
        </w:rPr>
        <w:t xml:space="preserve">own </w:t>
      </w:r>
      <w:r w:rsidR="00CA427C">
        <w:rPr>
          <w:rFonts w:eastAsia="Times New Roman"/>
          <w:sz w:val="24"/>
          <w:lang w:bidi="ar-SA"/>
        </w:rPr>
        <w:t xml:space="preserve">water, no factual contentions are at issue here </w:t>
      </w:r>
      <w:r w:rsidR="00CA427C" w:rsidRPr="005B6F04">
        <w:rPr>
          <w:rFonts w:eastAsia="Times New Roman"/>
          <w:i/>
          <w:sz w:val="24"/>
          <w:lang w:bidi="ar-SA"/>
        </w:rPr>
        <w:t>as</w:t>
      </w:r>
      <w:r w:rsidR="00CA427C">
        <w:rPr>
          <w:rFonts w:eastAsia="Times New Roman"/>
          <w:sz w:val="24"/>
          <w:lang w:bidi="ar-SA"/>
        </w:rPr>
        <w:t xml:space="preserve"> </w:t>
      </w:r>
      <w:r w:rsidR="00CA427C" w:rsidRPr="000D3834">
        <w:rPr>
          <w:rFonts w:eastAsia="Times New Roman"/>
          <w:i/>
          <w:sz w:val="24"/>
          <w:lang w:bidi="ar-SA"/>
        </w:rPr>
        <w:t>this is a motion predicated solely of the legal infirmity of the claim</w:t>
      </w:r>
      <w:r w:rsidR="00CA427C">
        <w:rPr>
          <w:rFonts w:eastAsia="Times New Roman"/>
          <w:sz w:val="24"/>
          <w:lang w:bidi="ar-SA"/>
        </w:rPr>
        <w:t>.</w:t>
      </w:r>
    </w:p>
    <w:p w:rsidR="00412E23" w:rsidRPr="009279C8" w:rsidRDefault="00AC5366" w:rsidP="00493275">
      <w:pPr>
        <w:widowControl/>
        <w:spacing w:line="480" w:lineRule="auto"/>
        <w:jc w:val="both"/>
        <w:rPr>
          <w:sz w:val="24"/>
        </w:rPr>
      </w:pPr>
      <w:r w:rsidRPr="009279C8">
        <w:rPr>
          <w:rFonts w:eastAsia="Times New Roman"/>
          <w:sz w:val="24"/>
          <w:lang w:bidi="ar-SA"/>
        </w:rPr>
        <w:tab/>
      </w:r>
      <w:r w:rsidR="008700BE" w:rsidRPr="009279C8">
        <w:rPr>
          <w:sz w:val="24"/>
        </w:rPr>
        <w:t>Hamed asks that the claim be struck prior to depositions and briefing</w:t>
      </w:r>
      <w:r w:rsidR="00493275">
        <w:rPr>
          <w:sz w:val="24"/>
        </w:rPr>
        <w:t>,</w:t>
      </w:r>
      <w:r w:rsidR="008700BE" w:rsidRPr="009279C8">
        <w:rPr>
          <w:sz w:val="24"/>
        </w:rPr>
        <w:t xml:space="preserve"> as a matter of law, on </w:t>
      </w:r>
      <w:r w:rsidRPr="009279C8">
        <w:rPr>
          <w:sz w:val="24"/>
        </w:rPr>
        <w:t xml:space="preserve">two distinct </w:t>
      </w:r>
      <w:r w:rsidR="008700BE" w:rsidRPr="009279C8">
        <w:rPr>
          <w:sz w:val="24"/>
        </w:rPr>
        <w:t>procedural grounds</w:t>
      </w:r>
      <w:r w:rsidR="005B6F04">
        <w:rPr>
          <w:sz w:val="24"/>
        </w:rPr>
        <w:t xml:space="preserve">: </w:t>
      </w:r>
      <w:r w:rsidRPr="009279C8">
        <w:rPr>
          <w:sz w:val="24"/>
        </w:rPr>
        <w:t xml:space="preserve">(1) </w:t>
      </w:r>
      <w:r w:rsidR="008700BE" w:rsidRPr="009279C8">
        <w:rPr>
          <w:sz w:val="24"/>
        </w:rPr>
        <w:t xml:space="preserve">pursuant to the applicable VI </w:t>
      </w:r>
      <w:r w:rsidR="008700BE" w:rsidRPr="005B6F04">
        <w:rPr>
          <w:i/>
          <w:sz w:val="24"/>
        </w:rPr>
        <w:t>statute of limitations</w:t>
      </w:r>
      <w:r w:rsidR="008700BE" w:rsidRPr="009279C8">
        <w:rPr>
          <w:sz w:val="24"/>
        </w:rPr>
        <w:t xml:space="preserve"> ("SOL")</w:t>
      </w:r>
      <w:r w:rsidR="002A2E00">
        <w:rPr>
          <w:sz w:val="24"/>
        </w:rPr>
        <w:t xml:space="preserve">, </w:t>
      </w:r>
      <w:r w:rsidR="008700BE" w:rsidRPr="009279C8">
        <w:rPr>
          <w:sz w:val="24"/>
        </w:rPr>
        <w:t xml:space="preserve">Yusuf </w:t>
      </w:r>
      <w:r w:rsidR="008C25D1">
        <w:rPr>
          <w:sz w:val="24"/>
        </w:rPr>
        <w:t>provided</w:t>
      </w:r>
      <w:r w:rsidR="008700BE" w:rsidRPr="009279C8">
        <w:rPr>
          <w:sz w:val="24"/>
        </w:rPr>
        <w:t xml:space="preserve"> dispositive facts in </w:t>
      </w:r>
      <w:r w:rsidR="008C25D1">
        <w:rPr>
          <w:sz w:val="24"/>
        </w:rPr>
        <w:t xml:space="preserve">its </w:t>
      </w:r>
      <w:r w:rsidR="008700BE" w:rsidRPr="009279C8">
        <w:rPr>
          <w:sz w:val="24"/>
        </w:rPr>
        <w:t>responses on May 15, 2018</w:t>
      </w:r>
      <w:r w:rsidRPr="009279C8">
        <w:rPr>
          <w:sz w:val="24"/>
        </w:rPr>
        <w:t xml:space="preserve"> that preclude th</w:t>
      </w:r>
      <w:r w:rsidR="005B6F04">
        <w:rPr>
          <w:sz w:val="24"/>
        </w:rPr>
        <w:t>e</w:t>
      </w:r>
      <w:r w:rsidRPr="009279C8">
        <w:rPr>
          <w:sz w:val="24"/>
        </w:rPr>
        <w:t xml:space="preserve"> </w:t>
      </w:r>
      <w:r w:rsidR="005B6F04">
        <w:rPr>
          <w:sz w:val="24"/>
        </w:rPr>
        <w:t xml:space="preserve">first </w:t>
      </w:r>
      <w:r w:rsidRPr="009279C8">
        <w:rPr>
          <w:sz w:val="24"/>
        </w:rPr>
        <w:t>portion of the claim</w:t>
      </w:r>
      <w:r w:rsidR="005B6F04">
        <w:rPr>
          <w:sz w:val="24"/>
        </w:rPr>
        <w:t>,</w:t>
      </w:r>
      <w:r w:rsidRPr="009279C8">
        <w:rPr>
          <w:sz w:val="24"/>
        </w:rPr>
        <w:t xml:space="preserve"> up to September 17, 20</w:t>
      </w:r>
      <w:r w:rsidR="00E82908">
        <w:rPr>
          <w:sz w:val="24"/>
        </w:rPr>
        <w:t>06</w:t>
      </w:r>
      <w:r w:rsidR="005B6F04">
        <w:rPr>
          <w:sz w:val="24"/>
        </w:rPr>
        <w:t>,</w:t>
      </w:r>
      <w:r w:rsidRPr="009279C8">
        <w:rPr>
          <w:sz w:val="24"/>
        </w:rPr>
        <w:t xml:space="preserve"> and (2) </w:t>
      </w:r>
      <w:r w:rsidR="00E82908">
        <w:rPr>
          <w:sz w:val="24"/>
        </w:rPr>
        <w:t xml:space="preserve">he admitted facts </w:t>
      </w:r>
      <w:r w:rsidRPr="009279C8">
        <w:rPr>
          <w:sz w:val="24"/>
        </w:rPr>
        <w:t xml:space="preserve">as to the </w:t>
      </w:r>
      <w:r w:rsidR="003E5280">
        <w:rPr>
          <w:sz w:val="24"/>
        </w:rPr>
        <w:t xml:space="preserve">entire </w:t>
      </w:r>
      <w:r w:rsidRPr="009279C8">
        <w:rPr>
          <w:sz w:val="24"/>
        </w:rPr>
        <w:t>claim</w:t>
      </w:r>
      <w:r w:rsidR="006544B6">
        <w:rPr>
          <w:sz w:val="24"/>
        </w:rPr>
        <w:t xml:space="preserve"> relating to</w:t>
      </w:r>
      <w:r w:rsidR="009279C8" w:rsidRPr="009279C8">
        <w:rPr>
          <w:sz w:val="24"/>
        </w:rPr>
        <w:t xml:space="preserve"> the </w:t>
      </w:r>
      <w:r w:rsidR="009279C8" w:rsidRPr="005B6F04">
        <w:rPr>
          <w:i/>
          <w:sz w:val="24"/>
        </w:rPr>
        <w:t>statute of frauds</w:t>
      </w:r>
      <w:r w:rsidR="005B6F04">
        <w:rPr>
          <w:sz w:val="24"/>
        </w:rPr>
        <w:t>—</w:t>
      </w:r>
      <w:r w:rsidR="009279C8" w:rsidRPr="009279C8">
        <w:rPr>
          <w:sz w:val="24"/>
        </w:rPr>
        <w:t xml:space="preserve">as there are </w:t>
      </w:r>
      <w:r w:rsidR="006544B6">
        <w:rPr>
          <w:sz w:val="24"/>
        </w:rPr>
        <w:t>is</w:t>
      </w:r>
      <w:r w:rsidR="009279C8" w:rsidRPr="009279C8">
        <w:rPr>
          <w:sz w:val="24"/>
        </w:rPr>
        <w:t xml:space="preserve"> </w:t>
      </w:r>
      <w:r w:rsidR="003E5280">
        <w:rPr>
          <w:sz w:val="24"/>
        </w:rPr>
        <w:t xml:space="preserve">no </w:t>
      </w:r>
      <w:r w:rsidR="009279C8" w:rsidRPr="009279C8">
        <w:rPr>
          <w:sz w:val="24"/>
        </w:rPr>
        <w:t>writing</w:t>
      </w:r>
      <w:r w:rsidR="006544B6">
        <w:rPr>
          <w:sz w:val="24"/>
        </w:rPr>
        <w:t xml:space="preserve"> as to the</w:t>
      </w:r>
      <w:r w:rsidR="009279C8" w:rsidRPr="009279C8">
        <w:rPr>
          <w:sz w:val="24"/>
        </w:rPr>
        <w:t xml:space="preserve"> agreement </w:t>
      </w:r>
      <w:r w:rsidR="006544B6">
        <w:rPr>
          <w:sz w:val="24"/>
        </w:rPr>
        <w:t>for water.</w:t>
      </w:r>
    </w:p>
    <w:p w:rsidR="00412E23" w:rsidRPr="004627D4" w:rsidRDefault="009A57D4" w:rsidP="009A57D4">
      <w:pPr>
        <w:pStyle w:val="Heading2"/>
        <w:widowControl/>
        <w:spacing w:line="480" w:lineRule="auto"/>
        <w:ind w:left="0"/>
        <w:jc w:val="both"/>
        <w:rPr>
          <w:color w:val="2C2C2C"/>
        </w:rPr>
      </w:pPr>
      <w:bookmarkStart w:id="3" w:name="Facts"/>
      <w:bookmarkEnd w:id="3"/>
      <w:r w:rsidRPr="00CC6321">
        <w:t xml:space="preserve">II. </w:t>
      </w:r>
      <w:r w:rsidR="008700BE" w:rsidRPr="004627D4">
        <w:rPr>
          <w:color w:val="2C2C2C"/>
        </w:rPr>
        <w:t>Facts</w:t>
      </w:r>
    </w:p>
    <w:p w:rsidR="009279C8" w:rsidRDefault="0069655E" w:rsidP="0069655E">
      <w:pPr>
        <w:pStyle w:val="BodyText"/>
        <w:widowControl/>
        <w:spacing w:line="480" w:lineRule="auto"/>
        <w:jc w:val="both"/>
        <w:rPr>
          <w:color w:val="2C2C2C"/>
        </w:rPr>
      </w:pPr>
      <w:bookmarkStart w:id="4" w:name="In_response_to_discovery_in_this_action,"/>
      <w:bookmarkEnd w:id="4"/>
      <w:r>
        <w:rPr>
          <w:color w:val="2C2C2C"/>
        </w:rPr>
        <w:tab/>
      </w:r>
      <w:r w:rsidR="009279C8">
        <w:rPr>
          <w:color w:val="2C2C2C"/>
        </w:rPr>
        <w:t xml:space="preserve">United is a party to this litigation as a defendant and counterclaimant.  </w:t>
      </w:r>
      <w:r w:rsidR="008C25D1">
        <w:rPr>
          <w:color w:val="2C2C2C"/>
        </w:rPr>
        <w:t xml:space="preserve">It is not a partner. </w:t>
      </w:r>
      <w:r w:rsidR="009279C8">
        <w:rPr>
          <w:color w:val="2C2C2C"/>
        </w:rPr>
        <w:t xml:space="preserve">United's claim </w:t>
      </w:r>
      <w:r>
        <w:rPr>
          <w:color w:val="2C2C2C"/>
        </w:rPr>
        <w:t xml:space="preserve">in this context </w:t>
      </w:r>
      <w:r w:rsidR="005B6F04">
        <w:rPr>
          <w:color w:val="2C2C2C"/>
        </w:rPr>
        <w:t>is</w:t>
      </w:r>
      <w:r w:rsidR="009279C8">
        <w:rPr>
          <w:color w:val="2C2C2C"/>
        </w:rPr>
        <w:t xml:space="preserve"> </w:t>
      </w:r>
      <w:r w:rsidRPr="008C25D1">
        <w:rPr>
          <w:i/>
          <w:color w:val="2C2C2C"/>
          <w:u w:val="single"/>
        </w:rPr>
        <w:t>solely</w:t>
      </w:r>
      <w:r>
        <w:rPr>
          <w:color w:val="2C2C2C"/>
        </w:rPr>
        <w:t xml:space="preserve"> </w:t>
      </w:r>
      <w:r w:rsidR="009279C8">
        <w:rPr>
          <w:color w:val="2C2C2C"/>
        </w:rPr>
        <w:t>th</w:t>
      </w:r>
      <w:r w:rsidR="005B6F04">
        <w:rPr>
          <w:color w:val="2C2C2C"/>
        </w:rPr>
        <w:t>at</w:t>
      </w:r>
      <w:r w:rsidR="009279C8">
        <w:rPr>
          <w:color w:val="2C2C2C"/>
        </w:rPr>
        <w:t xml:space="preserve"> of a third-party </w:t>
      </w:r>
      <w:r w:rsidR="003E5280">
        <w:rPr>
          <w:color w:val="2C2C2C"/>
        </w:rPr>
        <w:t xml:space="preserve">vendor </w:t>
      </w:r>
      <w:r w:rsidR="009279C8">
        <w:rPr>
          <w:color w:val="2C2C2C"/>
        </w:rPr>
        <w:t xml:space="preserve">against the Partnership.  </w:t>
      </w:r>
      <w:r w:rsidR="00015E40">
        <w:rPr>
          <w:color w:val="2C2C2C"/>
        </w:rPr>
        <w:t xml:space="preserve">At page 12 of its October 30, 2016 </w:t>
      </w:r>
      <w:r w:rsidRPr="002A2E00">
        <w:rPr>
          <w:i/>
          <w:color w:val="2C2C2C"/>
        </w:rPr>
        <w:t>R</w:t>
      </w:r>
      <w:r w:rsidR="00015E40" w:rsidRPr="002A2E00">
        <w:rPr>
          <w:i/>
          <w:color w:val="2C2C2C"/>
        </w:rPr>
        <w:t>evised Claims</w:t>
      </w:r>
      <w:r w:rsidR="00015E40">
        <w:rPr>
          <w:color w:val="2C2C2C"/>
        </w:rPr>
        <w:t xml:space="preserve">, </w:t>
      </w:r>
      <w:r w:rsidR="009279C8">
        <w:rPr>
          <w:color w:val="2C2C2C"/>
        </w:rPr>
        <w:t xml:space="preserve">United asserted the following </w:t>
      </w:r>
      <w:r w:rsidR="000D3834">
        <w:rPr>
          <w:color w:val="2C2C2C"/>
        </w:rPr>
        <w:t xml:space="preserve">as its </w:t>
      </w:r>
      <w:r w:rsidR="009279C8">
        <w:rPr>
          <w:color w:val="2C2C2C"/>
        </w:rPr>
        <w:t>counterclaim:</w:t>
      </w:r>
    </w:p>
    <w:p w:rsidR="009279C8" w:rsidRDefault="009279C8" w:rsidP="00015E40">
      <w:pPr>
        <w:widowControl/>
        <w:adjustRightInd w:val="0"/>
        <w:ind w:left="720" w:right="720"/>
        <w:jc w:val="both"/>
        <w:rPr>
          <w:rFonts w:eastAsiaTheme="minorHAnsi"/>
          <w:bCs/>
          <w:sz w:val="24"/>
          <w:szCs w:val="23"/>
          <w:lang w:bidi="ar-SA"/>
        </w:rPr>
      </w:pPr>
      <w:r w:rsidRPr="00015E40">
        <w:rPr>
          <w:rFonts w:eastAsiaTheme="minorHAnsi"/>
          <w:bCs/>
          <w:sz w:val="24"/>
          <w:szCs w:val="23"/>
          <w:lang w:bidi="ar-SA"/>
        </w:rPr>
        <w:t>F. Water Revenue Re Plaza Extra-East</w:t>
      </w:r>
    </w:p>
    <w:p w:rsidR="009A57D4" w:rsidRPr="00015E40" w:rsidRDefault="009A57D4" w:rsidP="00015E40">
      <w:pPr>
        <w:widowControl/>
        <w:adjustRightInd w:val="0"/>
        <w:ind w:left="720" w:right="720"/>
        <w:jc w:val="both"/>
        <w:rPr>
          <w:rFonts w:eastAsiaTheme="minorHAnsi"/>
          <w:bCs/>
          <w:sz w:val="24"/>
          <w:szCs w:val="23"/>
          <w:lang w:bidi="ar-SA"/>
        </w:rPr>
      </w:pPr>
    </w:p>
    <w:p w:rsidR="009279C8" w:rsidRDefault="009279C8" w:rsidP="00015E40">
      <w:pPr>
        <w:widowControl/>
        <w:adjustRightInd w:val="0"/>
        <w:ind w:left="720" w:right="720"/>
        <w:jc w:val="both"/>
        <w:rPr>
          <w:rFonts w:eastAsiaTheme="minorHAnsi"/>
          <w:sz w:val="24"/>
          <w:szCs w:val="23"/>
          <w:lang w:bidi="ar-SA"/>
        </w:rPr>
      </w:pPr>
      <w:r w:rsidRPr="00015E40">
        <w:rPr>
          <w:rFonts w:eastAsiaTheme="minorHAnsi"/>
          <w:sz w:val="24"/>
          <w:szCs w:val="23"/>
          <w:lang w:bidi="ar-SA"/>
        </w:rPr>
        <w:t>Beginning in</w:t>
      </w:r>
      <w:r w:rsidR="00015E40">
        <w:rPr>
          <w:rFonts w:eastAsiaTheme="minorHAnsi"/>
          <w:sz w:val="24"/>
          <w:szCs w:val="23"/>
          <w:lang w:bidi="ar-SA"/>
        </w:rPr>
        <w:t xml:space="preserve"> </w:t>
      </w:r>
      <w:r w:rsidRPr="00015E40">
        <w:rPr>
          <w:rFonts w:eastAsiaTheme="minorHAnsi"/>
          <w:sz w:val="24"/>
          <w:szCs w:val="23"/>
          <w:lang w:bidi="ar-SA"/>
        </w:rPr>
        <w:t xml:space="preserve">1994, Plaza Extra-East began selling </w:t>
      </w:r>
      <w:r w:rsidRPr="00E412D9">
        <w:rPr>
          <w:rFonts w:eastAsiaTheme="minorHAnsi"/>
          <w:b/>
          <w:sz w:val="24"/>
          <w:szCs w:val="23"/>
          <w:lang w:bidi="ar-SA"/>
        </w:rPr>
        <w:t>United's water</w:t>
      </w:r>
      <w:r w:rsidRPr="00015E40">
        <w:rPr>
          <w:rFonts w:eastAsiaTheme="minorHAnsi"/>
          <w:sz w:val="24"/>
          <w:szCs w:val="23"/>
          <w:lang w:bidi="ar-SA"/>
        </w:rPr>
        <w:t>. The proceeds for the</w:t>
      </w:r>
      <w:r w:rsidR="00015E40" w:rsidRPr="00015E40">
        <w:rPr>
          <w:rFonts w:eastAsiaTheme="minorHAnsi"/>
          <w:sz w:val="24"/>
          <w:szCs w:val="23"/>
          <w:lang w:bidi="ar-SA"/>
        </w:rPr>
        <w:t xml:space="preserve"> </w:t>
      </w:r>
      <w:r w:rsidRPr="00015E40">
        <w:rPr>
          <w:rFonts w:eastAsiaTheme="minorHAnsi"/>
          <w:sz w:val="24"/>
          <w:szCs w:val="23"/>
          <w:lang w:bidi="ar-SA"/>
        </w:rPr>
        <w:t xml:space="preserve">first 10 years were used primarily for charitable purposes. </w:t>
      </w:r>
      <w:r w:rsidRPr="00015E40">
        <w:rPr>
          <w:rFonts w:eastAsiaTheme="minorHAnsi"/>
          <w:b/>
          <w:sz w:val="24"/>
          <w:szCs w:val="23"/>
          <w:lang w:bidi="ar-SA"/>
        </w:rPr>
        <w:t>From April 1, 2004</w:t>
      </w:r>
      <w:r w:rsidRPr="00015E40">
        <w:rPr>
          <w:rFonts w:eastAsiaTheme="minorHAnsi"/>
          <w:sz w:val="24"/>
          <w:szCs w:val="23"/>
          <w:lang w:bidi="ar-SA"/>
        </w:rPr>
        <w:t>, however, all</w:t>
      </w:r>
      <w:r w:rsidR="00015E40">
        <w:rPr>
          <w:rFonts w:eastAsiaTheme="minorHAnsi"/>
          <w:sz w:val="24"/>
          <w:szCs w:val="23"/>
          <w:lang w:bidi="ar-SA"/>
        </w:rPr>
        <w:t xml:space="preserve"> </w:t>
      </w:r>
      <w:r w:rsidRPr="00015E40">
        <w:rPr>
          <w:rFonts w:eastAsiaTheme="minorHAnsi"/>
          <w:sz w:val="24"/>
          <w:szCs w:val="23"/>
          <w:lang w:bidi="ar-SA"/>
        </w:rPr>
        <w:t xml:space="preserve">revenue from the sale of United's water that was collected by Plaza Extra-East </w:t>
      </w:r>
      <w:r w:rsidRPr="00CA427C">
        <w:rPr>
          <w:rFonts w:eastAsiaTheme="minorHAnsi"/>
          <w:b/>
          <w:sz w:val="24"/>
          <w:szCs w:val="23"/>
          <w:lang w:bidi="ar-SA"/>
        </w:rPr>
        <w:t>was to be paid to</w:t>
      </w:r>
      <w:r w:rsidR="00015E40" w:rsidRPr="00CA427C">
        <w:rPr>
          <w:rFonts w:eastAsiaTheme="minorHAnsi"/>
          <w:b/>
          <w:sz w:val="24"/>
          <w:szCs w:val="23"/>
          <w:lang w:bidi="ar-SA"/>
        </w:rPr>
        <w:t xml:space="preserve"> </w:t>
      </w:r>
      <w:r w:rsidRPr="00CA427C">
        <w:rPr>
          <w:rFonts w:eastAsiaTheme="minorHAnsi"/>
          <w:b/>
          <w:sz w:val="24"/>
          <w:szCs w:val="23"/>
          <w:lang w:bidi="ar-SA"/>
        </w:rPr>
        <w:t>United</w:t>
      </w:r>
      <w:r w:rsidRPr="00015E40">
        <w:rPr>
          <w:rFonts w:eastAsiaTheme="minorHAnsi"/>
          <w:sz w:val="24"/>
          <w:szCs w:val="23"/>
          <w:lang w:bidi="ar-SA"/>
        </w:rPr>
        <w:t>. United has calculated the average water sales per month based upon two years of sales</w:t>
      </w:r>
      <w:r w:rsidR="00015E40">
        <w:rPr>
          <w:rFonts w:eastAsiaTheme="minorHAnsi"/>
          <w:sz w:val="24"/>
          <w:szCs w:val="23"/>
          <w:lang w:bidi="ar-SA"/>
        </w:rPr>
        <w:t xml:space="preserve"> </w:t>
      </w:r>
      <w:r w:rsidRPr="00015E40">
        <w:rPr>
          <w:rFonts w:eastAsiaTheme="minorHAnsi"/>
          <w:sz w:val="24"/>
          <w:szCs w:val="23"/>
          <w:lang w:bidi="ar-SA"/>
        </w:rPr>
        <w:t>in 1997 ($52,000) and 1998 ($75,000) as $5,291.66 per month.</w:t>
      </w:r>
      <w:r w:rsidRPr="005B6F04">
        <w:rPr>
          <w:rFonts w:eastAsiaTheme="minorHAnsi"/>
          <w:sz w:val="24"/>
          <w:szCs w:val="23"/>
          <w:lang w:bidi="ar-SA"/>
        </w:rPr>
        <w:t xml:space="preserve"> Multiplying the average monthly</w:t>
      </w:r>
      <w:r w:rsidR="00015E40" w:rsidRPr="005B6F04">
        <w:rPr>
          <w:rFonts w:eastAsiaTheme="minorHAnsi"/>
          <w:sz w:val="24"/>
          <w:szCs w:val="23"/>
          <w:lang w:bidi="ar-SA"/>
        </w:rPr>
        <w:t xml:space="preserve"> </w:t>
      </w:r>
      <w:r w:rsidRPr="005B6F04">
        <w:rPr>
          <w:rFonts w:eastAsiaTheme="minorHAnsi"/>
          <w:sz w:val="24"/>
          <w:szCs w:val="23"/>
          <w:lang w:bidi="ar-SA"/>
        </w:rPr>
        <w:t>sales revenue by 131 months</w:t>
      </w:r>
      <w:r w:rsidRPr="00015E40">
        <w:rPr>
          <w:rFonts w:eastAsiaTheme="minorHAnsi"/>
          <w:sz w:val="24"/>
          <w:szCs w:val="23"/>
          <w:lang w:bidi="ar-SA"/>
        </w:rPr>
        <w:t>, United is owed $693,207.46 from the Partnership for the water</w:t>
      </w:r>
      <w:r w:rsidR="00015E40">
        <w:rPr>
          <w:rFonts w:eastAsiaTheme="minorHAnsi"/>
          <w:sz w:val="24"/>
          <w:szCs w:val="23"/>
          <w:lang w:bidi="ar-SA"/>
        </w:rPr>
        <w:t xml:space="preserve"> </w:t>
      </w:r>
      <w:r w:rsidRPr="00015E40">
        <w:rPr>
          <w:rFonts w:eastAsiaTheme="minorHAnsi"/>
          <w:sz w:val="24"/>
          <w:szCs w:val="23"/>
          <w:lang w:bidi="ar-SA"/>
        </w:rPr>
        <w:t>sales revenue from April 1, 2004 through February 28, 2015.</w:t>
      </w:r>
      <w:r w:rsidR="00015E40">
        <w:rPr>
          <w:rFonts w:eastAsiaTheme="minorHAnsi"/>
          <w:sz w:val="24"/>
          <w:szCs w:val="23"/>
          <w:lang w:bidi="ar-SA"/>
        </w:rPr>
        <w:t xml:space="preserve"> (Emphasis added.)</w:t>
      </w:r>
    </w:p>
    <w:p w:rsidR="008C25D1" w:rsidRDefault="008C25D1" w:rsidP="00015E40">
      <w:pPr>
        <w:widowControl/>
        <w:adjustRightInd w:val="0"/>
        <w:ind w:left="720" w:right="720"/>
        <w:jc w:val="both"/>
        <w:rPr>
          <w:rFonts w:eastAsiaTheme="minorHAnsi"/>
          <w:sz w:val="24"/>
          <w:szCs w:val="23"/>
          <w:lang w:bidi="ar-SA"/>
        </w:rPr>
      </w:pPr>
    </w:p>
    <w:p w:rsidR="006230E6" w:rsidRDefault="008C25D1" w:rsidP="008C25D1">
      <w:pPr>
        <w:widowControl/>
        <w:adjustRightInd w:val="0"/>
        <w:spacing w:line="480" w:lineRule="auto"/>
        <w:jc w:val="both"/>
        <w:rPr>
          <w:rFonts w:eastAsiaTheme="minorHAnsi"/>
          <w:sz w:val="24"/>
          <w:szCs w:val="23"/>
          <w:lang w:bidi="ar-SA"/>
        </w:rPr>
      </w:pPr>
      <w:r>
        <w:rPr>
          <w:rFonts w:eastAsiaTheme="minorHAnsi"/>
          <w:sz w:val="24"/>
          <w:szCs w:val="23"/>
          <w:lang w:bidi="ar-SA"/>
        </w:rPr>
        <w:lastRenderedPageBreak/>
        <w:t>The phrase "was to be paid" means that United asserts a contract under which it "was to be paid" in return for supplying water to the Partnership</w:t>
      </w:r>
      <w:r w:rsidR="005E17DC">
        <w:rPr>
          <w:rFonts w:eastAsiaTheme="minorHAnsi"/>
          <w:sz w:val="24"/>
          <w:szCs w:val="23"/>
          <w:lang w:bidi="ar-SA"/>
        </w:rPr>
        <w:t xml:space="preserve"> for sale at a Plaza Extra store.</w:t>
      </w:r>
    </w:p>
    <w:p w:rsidR="00015E40" w:rsidRDefault="009A57D4" w:rsidP="00B47160">
      <w:pPr>
        <w:widowControl/>
        <w:adjustRightInd w:val="0"/>
        <w:spacing w:line="480" w:lineRule="auto"/>
        <w:jc w:val="both"/>
        <w:rPr>
          <w:rFonts w:eastAsiaTheme="minorHAnsi"/>
          <w:sz w:val="24"/>
          <w:szCs w:val="23"/>
          <w:lang w:bidi="ar-SA"/>
        </w:rPr>
      </w:pPr>
      <w:r>
        <w:rPr>
          <w:rFonts w:eastAsiaTheme="minorHAnsi"/>
          <w:sz w:val="24"/>
          <w:szCs w:val="23"/>
          <w:lang w:bidi="ar-SA"/>
        </w:rPr>
        <w:tab/>
      </w:r>
      <w:r w:rsidR="008C25D1">
        <w:rPr>
          <w:rFonts w:eastAsiaTheme="minorHAnsi"/>
          <w:sz w:val="24"/>
          <w:szCs w:val="23"/>
          <w:lang w:bidi="ar-SA"/>
        </w:rPr>
        <w:t xml:space="preserve">Under the </w:t>
      </w:r>
      <w:r w:rsidR="008C25D1" w:rsidRPr="008C25D1">
        <w:rPr>
          <w:rFonts w:eastAsiaTheme="minorHAnsi"/>
          <w:i/>
          <w:sz w:val="24"/>
          <w:szCs w:val="23"/>
          <w:lang w:bidi="ar-SA"/>
        </w:rPr>
        <w:t>January 29, 2018 Discovery Plan</w:t>
      </w:r>
      <w:r w:rsidR="008C25D1">
        <w:rPr>
          <w:rFonts w:eastAsiaTheme="minorHAnsi"/>
          <w:sz w:val="24"/>
          <w:szCs w:val="23"/>
          <w:lang w:bidi="ar-SA"/>
        </w:rPr>
        <w:t xml:space="preserve">, written </w:t>
      </w:r>
      <w:r w:rsidR="005E17DC">
        <w:rPr>
          <w:rFonts w:eastAsiaTheme="minorHAnsi"/>
          <w:sz w:val="24"/>
          <w:szCs w:val="23"/>
          <w:lang w:bidi="ar-SA"/>
        </w:rPr>
        <w:t xml:space="preserve">claims </w:t>
      </w:r>
      <w:r w:rsidR="008C25D1">
        <w:rPr>
          <w:rFonts w:eastAsiaTheme="minorHAnsi"/>
          <w:sz w:val="24"/>
          <w:szCs w:val="23"/>
          <w:lang w:bidi="ar-SA"/>
        </w:rPr>
        <w:t xml:space="preserve">discovery is completed.  </w:t>
      </w:r>
      <w:r w:rsidR="00015E40">
        <w:rPr>
          <w:rFonts w:eastAsiaTheme="minorHAnsi"/>
          <w:sz w:val="24"/>
          <w:szCs w:val="23"/>
          <w:lang w:bidi="ar-SA"/>
        </w:rPr>
        <w:t xml:space="preserve">In discovery, United </w:t>
      </w:r>
      <w:r w:rsidR="006230E6">
        <w:rPr>
          <w:rFonts w:eastAsiaTheme="minorHAnsi"/>
          <w:sz w:val="24"/>
          <w:szCs w:val="23"/>
          <w:lang w:bidi="ar-SA"/>
        </w:rPr>
        <w:t xml:space="preserve">was </w:t>
      </w:r>
      <w:r w:rsidR="00E37FBF">
        <w:rPr>
          <w:rFonts w:eastAsiaTheme="minorHAnsi"/>
          <w:sz w:val="24"/>
          <w:szCs w:val="23"/>
          <w:lang w:bidi="ar-SA"/>
        </w:rPr>
        <w:t>un</w:t>
      </w:r>
      <w:r w:rsidR="006230E6">
        <w:rPr>
          <w:rFonts w:eastAsiaTheme="minorHAnsi"/>
          <w:sz w:val="24"/>
          <w:szCs w:val="23"/>
          <w:lang w:bidi="ar-SA"/>
        </w:rPr>
        <w:t>able to describe</w:t>
      </w:r>
      <w:r w:rsidR="00015E40">
        <w:rPr>
          <w:rFonts w:eastAsiaTheme="minorHAnsi"/>
          <w:sz w:val="24"/>
          <w:szCs w:val="23"/>
          <w:lang w:bidi="ar-SA"/>
        </w:rPr>
        <w:t xml:space="preserve"> </w:t>
      </w:r>
      <w:r w:rsidR="00E37FBF" w:rsidRPr="00E37FBF">
        <w:rPr>
          <w:rFonts w:eastAsiaTheme="minorHAnsi"/>
          <w:i/>
          <w:sz w:val="24"/>
          <w:szCs w:val="23"/>
          <w:u w:val="single"/>
          <w:lang w:bidi="ar-SA"/>
        </w:rPr>
        <w:t>any</w:t>
      </w:r>
      <w:r w:rsidR="00015E40">
        <w:rPr>
          <w:rFonts w:eastAsiaTheme="minorHAnsi"/>
          <w:sz w:val="24"/>
          <w:szCs w:val="23"/>
          <w:lang w:bidi="ar-SA"/>
        </w:rPr>
        <w:t xml:space="preserve"> </w:t>
      </w:r>
      <w:r w:rsidR="004F39F9">
        <w:rPr>
          <w:rFonts w:eastAsiaTheme="minorHAnsi"/>
          <w:sz w:val="24"/>
          <w:szCs w:val="23"/>
          <w:lang w:bidi="ar-SA"/>
        </w:rPr>
        <w:t xml:space="preserve">post-September 17, 2006 </w:t>
      </w:r>
      <w:r w:rsidR="00015E40">
        <w:rPr>
          <w:rFonts w:eastAsiaTheme="minorHAnsi"/>
          <w:sz w:val="24"/>
          <w:szCs w:val="23"/>
          <w:lang w:bidi="ar-SA"/>
        </w:rPr>
        <w:t>documents as to th</w:t>
      </w:r>
      <w:r w:rsidR="00CA427C">
        <w:rPr>
          <w:rFonts w:eastAsiaTheme="minorHAnsi"/>
          <w:sz w:val="24"/>
          <w:szCs w:val="23"/>
          <w:lang w:bidi="ar-SA"/>
        </w:rPr>
        <w:t>is</w:t>
      </w:r>
      <w:r w:rsidR="00015E40">
        <w:rPr>
          <w:rFonts w:eastAsiaTheme="minorHAnsi"/>
          <w:sz w:val="24"/>
          <w:szCs w:val="23"/>
          <w:lang w:bidi="ar-SA"/>
        </w:rPr>
        <w:t xml:space="preserve"> claim</w:t>
      </w:r>
      <w:r>
        <w:rPr>
          <w:rFonts w:eastAsiaTheme="minorHAnsi"/>
          <w:sz w:val="24"/>
          <w:szCs w:val="23"/>
          <w:lang w:bidi="ar-SA"/>
        </w:rPr>
        <w:t>,</w:t>
      </w:r>
      <w:r w:rsidR="006230E6">
        <w:rPr>
          <w:rStyle w:val="FootnoteReference"/>
          <w:rFonts w:eastAsiaTheme="minorHAnsi"/>
          <w:sz w:val="24"/>
          <w:szCs w:val="23"/>
          <w:lang w:bidi="ar-SA"/>
        </w:rPr>
        <w:footnoteReference w:id="1"/>
      </w:r>
      <w:r>
        <w:rPr>
          <w:rFonts w:eastAsiaTheme="minorHAnsi"/>
          <w:sz w:val="24"/>
          <w:szCs w:val="23"/>
          <w:lang w:bidi="ar-SA"/>
        </w:rPr>
        <w:t xml:space="preserve"> and</w:t>
      </w:r>
      <w:r w:rsidR="00E37FBF">
        <w:rPr>
          <w:rFonts w:eastAsiaTheme="minorHAnsi"/>
          <w:sz w:val="24"/>
          <w:szCs w:val="23"/>
          <w:lang w:bidi="ar-SA"/>
        </w:rPr>
        <w:t>,</w:t>
      </w:r>
      <w:r>
        <w:rPr>
          <w:rFonts w:eastAsiaTheme="minorHAnsi"/>
          <w:sz w:val="24"/>
          <w:szCs w:val="23"/>
          <w:lang w:bidi="ar-SA"/>
        </w:rPr>
        <w:t xml:space="preserve"> critically, </w:t>
      </w:r>
      <w:r w:rsidRPr="003D6659">
        <w:rPr>
          <w:rFonts w:eastAsiaTheme="minorHAnsi"/>
          <w:b/>
          <w:sz w:val="24"/>
          <w:szCs w:val="23"/>
          <w:lang w:bidi="ar-SA"/>
        </w:rPr>
        <w:t xml:space="preserve">no </w:t>
      </w:r>
      <w:r w:rsidR="003E5280">
        <w:rPr>
          <w:rFonts w:eastAsiaTheme="minorHAnsi"/>
          <w:b/>
          <w:sz w:val="24"/>
          <w:szCs w:val="23"/>
          <w:lang w:bidi="ar-SA"/>
        </w:rPr>
        <w:t xml:space="preserve">it could describe no </w:t>
      </w:r>
      <w:r w:rsidRPr="003D6659">
        <w:rPr>
          <w:rFonts w:eastAsiaTheme="minorHAnsi"/>
          <w:b/>
          <w:sz w:val="24"/>
          <w:szCs w:val="23"/>
          <w:lang w:bidi="ar-SA"/>
        </w:rPr>
        <w:t xml:space="preserve">written </w:t>
      </w:r>
      <w:r w:rsidR="00E37FBF" w:rsidRPr="003D6659">
        <w:rPr>
          <w:rFonts w:eastAsiaTheme="minorHAnsi"/>
          <w:b/>
          <w:sz w:val="24"/>
          <w:szCs w:val="23"/>
          <w:lang w:bidi="ar-SA"/>
        </w:rPr>
        <w:t>contract</w:t>
      </w:r>
      <w:r w:rsidR="005E17DC">
        <w:rPr>
          <w:rFonts w:eastAsiaTheme="minorHAnsi"/>
          <w:b/>
          <w:sz w:val="24"/>
          <w:szCs w:val="23"/>
          <w:lang w:bidi="ar-SA"/>
        </w:rPr>
        <w:t xml:space="preserve"> </w:t>
      </w:r>
      <w:r w:rsidR="009338B8">
        <w:rPr>
          <w:rFonts w:eastAsiaTheme="minorHAnsi"/>
          <w:b/>
          <w:sz w:val="24"/>
          <w:szCs w:val="23"/>
          <w:lang w:bidi="ar-SA"/>
        </w:rPr>
        <w:t xml:space="preserve">providing </w:t>
      </w:r>
      <w:r w:rsidR="005E17DC">
        <w:rPr>
          <w:rFonts w:eastAsiaTheme="minorHAnsi"/>
          <w:b/>
          <w:sz w:val="24"/>
          <w:szCs w:val="23"/>
          <w:lang w:bidi="ar-SA"/>
        </w:rPr>
        <w:t>that it "was to be paid" for water</w:t>
      </w:r>
      <w:r w:rsidR="009338B8">
        <w:rPr>
          <w:rFonts w:eastAsiaTheme="minorHAnsi"/>
          <w:b/>
          <w:sz w:val="24"/>
          <w:szCs w:val="23"/>
          <w:lang w:bidi="ar-SA"/>
        </w:rPr>
        <w:t>,</w:t>
      </w:r>
      <w:r w:rsidR="005E17DC">
        <w:rPr>
          <w:rFonts w:eastAsiaTheme="minorHAnsi"/>
          <w:b/>
          <w:sz w:val="24"/>
          <w:szCs w:val="23"/>
          <w:lang w:bidi="ar-SA"/>
        </w:rPr>
        <w:t xml:space="preserve"> </w:t>
      </w:r>
      <w:r w:rsidR="005E17DC" w:rsidRPr="005E17DC">
        <w:rPr>
          <w:rFonts w:eastAsiaTheme="minorHAnsi"/>
          <w:b/>
          <w:sz w:val="24"/>
          <w:szCs w:val="23"/>
          <w:u w:val="single"/>
          <w:lang w:bidi="ar-SA"/>
        </w:rPr>
        <w:t xml:space="preserve">of </w:t>
      </w:r>
      <w:r w:rsidR="004F39F9" w:rsidRPr="005E17DC">
        <w:rPr>
          <w:rFonts w:eastAsiaTheme="minorHAnsi"/>
          <w:b/>
          <w:i/>
          <w:sz w:val="24"/>
          <w:szCs w:val="23"/>
          <w:u w:val="single"/>
          <w:lang w:bidi="ar-SA"/>
        </w:rPr>
        <w:t>any</w:t>
      </w:r>
      <w:r w:rsidR="004F39F9" w:rsidRPr="003D6659">
        <w:rPr>
          <w:rFonts w:eastAsiaTheme="minorHAnsi"/>
          <w:b/>
          <w:i/>
          <w:sz w:val="24"/>
          <w:szCs w:val="23"/>
          <w:u w:val="single"/>
          <w:lang w:bidi="ar-SA"/>
        </w:rPr>
        <w:t xml:space="preserve"> date</w:t>
      </w:r>
      <w:r>
        <w:rPr>
          <w:rFonts w:eastAsiaTheme="minorHAnsi"/>
          <w:sz w:val="24"/>
          <w:szCs w:val="23"/>
          <w:lang w:bidi="ar-SA"/>
        </w:rPr>
        <w:t xml:space="preserve">. </w:t>
      </w:r>
      <w:r w:rsidR="00015E40">
        <w:rPr>
          <w:rFonts w:eastAsiaTheme="minorHAnsi"/>
          <w:sz w:val="24"/>
          <w:szCs w:val="23"/>
          <w:lang w:bidi="ar-SA"/>
        </w:rPr>
        <w:t xml:space="preserve"> </w:t>
      </w:r>
      <w:r w:rsidR="00107A40">
        <w:rPr>
          <w:rFonts w:eastAsiaTheme="minorHAnsi"/>
          <w:sz w:val="24"/>
          <w:szCs w:val="23"/>
          <w:lang w:bidi="ar-SA"/>
        </w:rPr>
        <w:t>Moreover, i</w:t>
      </w:r>
      <w:r w:rsidR="00015E40">
        <w:rPr>
          <w:rFonts w:eastAsiaTheme="minorHAnsi"/>
          <w:sz w:val="24"/>
          <w:szCs w:val="23"/>
          <w:lang w:bidi="ar-SA"/>
        </w:rPr>
        <w:t>n response to Hamed's interrogatory</w:t>
      </w:r>
      <w:r w:rsidR="00107A40">
        <w:rPr>
          <w:rFonts w:eastAsiaTheme="minorHAnsi"/>
          <w:sz w:val="24"/>
          <w:szCs w:val="23"/>
          <w:lang w:bidi="ar-SA"/>
        </w:rPr>
        <w:t xml:space="preserve"> </w:t>
      </w:r>
      <w:r w:rsidR="00E37FBF">
        <w:rPr>
          <w:rFonts w:eastAsiaTheme="minorHAnsi"/>
          <w:sz w:val="24"/>
          <w:szCs w:val="23"/>
          <w:lang w:bidi="ar-SA"/>
        </w:rPr>
        <w:t>#</w:t>
      </w:r>
      <w:r w:rsidR="00107A40">
        <w:rPr>
          <w:rFonts w:eastAsiaTheme="minorHAnsi"/>
          <w:sz w:val="24"/>
          <w:szCs w:val="23"/>
          <w:lang w:bidi="ar-SA"/>
        </w:rPr>
        <w:t xml:space="preserve">2, </w:t>
      </w:r>
      <w:r w:rsidR="00B47160">
        <w:rPr>
          <w:rFonts w:eastAsiaTheme="minorHAnsi"/>
          <w:sz w:val="24"/>
          <w:szCs w:val="23"/>
          <w:lang w:bidi="ar-SA"/>
        </w:rPr>
        <w:t>(</w:t>
      </w:r>
      <w:r w:rsidR="00B47160" w:rsidRPr="00B47160">
        <w:rPr>
          <w:rFonts w:eastAsiaTheme="minorHAnsi"/>
          <w:sz w:val="24"/>
          <w:szCs w:val="23"/>
          <w:lang w:bidi="ar-SA"/>
        </w:rPr>
        <w:t xml:space="preserve">as to </w:t>
      </w:r>
      <w:r w:rsidR="00B47160" w:rsidRPr="00B47160">
        <w:rPr>
          <w:rFonts w:eastAsiaTheme="minorHAnsi"/>
          <w:sz w:val="24"/>
          <w:lang w:bidi="ar-SA"/>
        </w:rPr>
        <w:t>Claim Y-08 - Old Claim #: Yusuf III.F- Water Revenue Owed United</w:t>
      </w:r>
      <w:r w:rsidR="00B47160">
        <w:rPr>
          <w:rFonts w:eastAsiaTheme="minorHAnsi"/>
          <w:sz w:val="24"/>
          <w:szCs w:val="23"/>
          <w:lang w:bidi="ar-SA"/>
        </w:rPr>
        <w:t xml:space="preserve">) </w:t>
      </w:r>
      <w:r w:rsidR="00107A40">
        <w:rPr>
          <w:rFonts w:eastAsiaTheme="minorHAnsi"/>
          <w:sz w:val="24"/>
          <w:szCs w:val="23"/>
          <w:lang w:bidi="ar-SA"/>
        </w:rPr>
        <w:t xml:space="preserve">Yusuf </w:t>
      </w:r>
      <w:r w:rsidR="00E412D9">
        <w:rPr>
          <w:rFonts w:eastAsiaTheme="minorHAnsi"/>
          <w:sz w:val="24"/>
          <w:szCs w:val="23"/>
          <w:lang w:bidi="ar-SA"/>
        </w:rPr>
        <w:t>repeated the same</w:t>
      </w:r>
      <w:r w:rsidR="00CA427C">
        <w:rPr>
          <w:rFonts w:eastAsiaTheme="minorHAnsi"/>
          <w:sz w:val="24"/>
          <w:szCs w:val="23"/>
          <w:lang w:bidi="ar-SA"/>
        </w:rPr>
        <w:t xml:space="preserve">, unsupported recitation that </w:t>
      </w:r>
      <w:r w:rsidR="006230E6">
        <w:rPr>
          <w:rFonts w:eastAsiaTheme="minorHAnsi"/>
          <w:sz w:val="24"/>
          <w:szCs w:val="23"/>
          <w:lang w:bidi="ar-SA"/>
        </w:rPr>
        <w:t>"</w:t>
      </w:r>
      <w:r w:rsidR="004627D4">
        <w:rPr>
          <w:rFonts w:eastAsiaTheme="minorHAnsi"/>
          <w:sz w:val="24"/>
          <w:szCs w:val="23"/>
          <w:lang w:bidi="ar-SA"/>
        </w:rPr>
        <w:t>[a]</w:t>
      </w:r>
      <w:proofErr w:type="spellStart"/>
      <w:r w:rsidR="006230E6" w:rsidRPr="00015E40">
        <w:rPr>
          <w:rFonts w:eastAsiaTheme="minorHAnsi"/>
          <w:sz w:val="24"/>
          <w:szCs w:val="23"/>
          <w:lang w:bidi="ar-SA"/>
        </w:rPr>
        <w:t>fter</w:t>
      </w:r>
      <w:proofErr w:type="spellEnd"/>
      <w:r w:rsidR="006230E6" w:rsidRPr="00015E40">
        <w:rPr>
          <w:rFonts w:eastAsiaTheme="minorHAnsi"/>
          <w:sz w:val="24"/>
          <w:szCs w:val="23"/>
          <w:lang w:bidi="ar-SA"/>
        </w:rPr>
        <w:t xml:space="preserve"> May 5, 2004, the </w:t>
      </w:r>
      <w:r w:rsidR="006230E6" w:rsidRPr="005E17DC">
        <w:rPr>
          <w:rFonts w:eastAsiaTheme="minorHAnsi"/>
          <w:i/>
          <w:sz w:val="24"/>
          <w:szCs w:val="23"/>
          <w:u w:val="single"/>
          <w:lang w:bidi="ar-SA"/>
        </w:rPr>
        <w:t>proceeds from the sale of United's water were to be paid</w:t>
      </w:r>
      <w:r w:rsidR="006230E6" w:rsidRPr="006230E6">
        <w:rPr>
          <w:rFonts w:eastAsiaTheme="minorHAnsi"/>
          <w:sz w:val="24"/>
          <w:szCs w:val="23"/>
          <w:lang w:bidi="ar-SA"/>
        </w:rPr>
        <w:t xml:space="preserve"> to United</w:t>
      </w:r>
      <w:r w:rsidR="005E17DC">
        <w:rPr>
          <w:rFonts w:eastAsiaTheme="minorHAnsi"/>
          <w:sz w:val="24"/>
          <w:szCs w:val="23"/>
          <w:lang w:bidi="ar-SA"/>
        </w:rPr>
        <w:t>."</w:t>
      </w:r>
    </w:p>
    <w:p w:rsidR="00015E40" w:rsidRPr="00015E40" w:rsidRDefault="00015E40" w:rsidP="00015E40">
      <w:pPr>
        <w:widowControl/>
        <w:adjustRightInd w:val="0"/>
        <w:ind w:left="720" w:right="720"/>
        <w:jc w:val="both"/>
        <w:rPr>
          <w:rFonts w:eastAsiaTheme="minorHAnsi"/>
          <w:sz w:val="24"/>
          <w:szCs w:val="23"/>
          <w:lang w:bidi="ar-SA"/>
        </w:rPr>
      </w:pPr>
      <w:r w:rsidRPr="00015E40">
        <w:rPr>
          <w:rFonts w:eastAsiaTheme="minorHAnsi"/>
          <w:sz w:val="24"/>
          <w:szCs w:val="23"/>
          <w:lang w:bidi="ar-SA"/>
        </w:rPr>
        <w:t>Describe in detail, by month, from Sept 17, 2006 to 2014, the amount of water sold to the Partnership, by whom it was sold, the number of gallons per month, the per gallon cost in each of those months, the total value of the gallons sold by month, year and total amount - and describe any ledgers, shipping invoices, receipts or other documents which support your claim as well as any witnesses who would have knowledge and what knowledge you believe they have.</w:t>
      </w:r>
    </w:p>
    <w:p w:rsidR="00015E40" w:rsidRPr="00B47160" w:rsidRDefault="00015E40" w:rsidP="00015E40">
      <w:pPr>
        <w:widowControl/>
        <w:adjustRightInd w:val="0"/>
        <w:ind w:left="720" w:right="720"/>
        <w:jc w:val="both"/>
        <w:rPr>
          <w:rFonts w:eastAsiaTheme="minorHAnsi"/>
          <w:b/>
          <w:i/>
          <w:sz w:val="24"/>
          <w:szCs w:val="23"/>
          <w:lang w:bidi="ar-SA"/>
        </w:rPr>
      </w:pPr>
      <w:r w:rsidRPr="00B47160">
        <w:rPr>
          <w:rFonts w:eastAsiaTheme="minorHAnsi"/>
          <w:b/>
          <w:i/>
          <w:sz w:val="24"/>
          <w:szCs w:val="23"/>
          <w:lang w:bidi="ar-SA"/>
        </w:rPr>
        <w:t>RESPONSE:</w:t>
      </w:r>
    </w:p>
    <w:p w:rsidR="009338B8" w:rsidRDefault="00015E40" w:rsidP="00015E40">
      <w:pPr>
        <w:widowControl/>
        <w:adjustRightInd w:val="0"/>
        <w:ind w:left="720" w:right="720"/>
        <w:jc w:val="both"/>
        <w:rPr>
          <w:rFonts w:eastAsiaTheme="minorHAnsi"/>
          <w:sz w:val="24"/>
          <w:szCs w:val="23"/>
          <w:lang w:bidi="ar-SA"/>
        </w:rPr>
      </w:pPr>
      <w:r w:rsidRPr="00015E40">
        <w:rPr>
          <w:rFonts w:eastAsiaTheme="minorHAnsi"/>
          <w:sz w:val="24"/>
          <w:szCs w:val="23"/>
          <w:lang w:bidi="ar-SA"/>
        </w:rPr>
        <w:t>Defendants first object that this Interrogatory is unclear as it requests information about</w:t>
      </w:r>
      <w:r w:rsidR="00107A40">
        <w:rPr>
          <w:rFonts w:eastAsiaTheme="minorHAnsi"/>
          <w:sz w:val="24"/>
          <w:szCs w:val="23"/>
          <w:lang w:bidi="ar-SA"/>
        </w:rPr>
        <w:t xml:space="preserve"> </w:t>
      </w:r>
      <w:r w:rsidRPr="00015E40">
        <w:rPr>
          <w:rFonts w:eastAsiaTheme="minorHAnsi"/>
          <w:sz w:val="24"/>
          <w:szCs w:val="23"/>
          <w:lang w:bidi="ar-SA"/>
        </w:rPr>
        <w:t>water sold "to the Partnership." United's claim against the Partnership is that the Partnership</w:t>
      </w:r>
      <w:r w:rsidR="00107A40">
        <w:rPr>
          <w:rFonts w:eastAsiaTheme="minorHAnsi"/>
          <w:sz w:val="24"/>
          <w:szCs w:val="23"/>
          <w:lang w:bidi="ar-SA"/>
        </w:rPr>
        <w:t xml:space="preserve"> </w:t>
      </w:r>
      <w:r w:rsidRPr="00015E40">
        <w:rPr>
          <w:rFonts w:eastAsiaTheme="minorHAnsi"/>
          <w:sz w:val="24"/>
          <w:szCs w:val="23"/>
          <w:lang w:bidi="ar-SA"/>
        </w:rPr>
        <w:t xml:space="preserve">sold </w:t>
      </w:r>
      <w:r w:rsidRPr="00E412D9">
        <w:rPr>
          <w:rFonts w:eastAsiaTheme="minorHAnsi"/>
          <w:b/>
          <w:sz w:val="24"/>
          <w:szCs w:val="23"/>
          <w:lang w:bidi="ar-SA"/>
        </w:rPr>
        <w:t>United's water</w:t>
      </w:r>
      <w:r w:rsidRPr="00015E40">
        <w:rPr>
          <w:rFonts w:eastAsiaTheme="minorHAnsi"/>
          <w:sz w:val="24"/>
          <w:szCs w:val="23"/>
          <w:lang w:bidi="ar-SA"/>
        </w:rPr>
        <w:t xml:space="preserve"> from the Plaza Extra-East location. After May 5, 2004, the proceeds from</w:t>
      </w:r>
      <w:r w:rsidR="00107A40">
        <w:rPr>
          <w:rFonts w:eastAsiaTheme="minorHAnsi"/>
          <w:sz w:val="24"/>
          <w:szCs w:val="23"/>
          <w:lang w:bidi="ar-SA"/>
        </w:rPr>
        <w:t xml:space="preserve"> </w:t>
      </w:r>
      <w:r w:rsidRPr="00015E40">
        <w:rPr>
          <w:rFonts w:eastAsiaTheme="minorHAnsi"/>
          <w:sz w:val="24"/>
          <w:szCs w:val="23"/>
          <w:lang w:bidi="ar-SA"/>
        </w:rPr>
        <w:t xml:space="preserve">the sale of United's water </w:t>
      </w:r>
      <w:r w:rsidRPr="006230E6">
        <w:rPr>
          <w:rFonts w:eastAsiaTheme="minorHAnsi"/>
          <w:b/>
          <w:sz w:val="24"/>
          <w:szCs w:val="23"/>
          <w:lang w:bidi="ar-SA"/>
        </w:rPr>
        <w:t>were to be paid to United, not the Partnership</w:t>
      </w:r>
      <w:r w:rsidRPr="00015E40">
        <w:rPr>
          <w:rFonts w:eastAsiaTheme="minorHAnsi"/>
          <w:sz w:val="24"/>
          <w:szCs w:val="23"/>
          <w:lang w:bidi="ar-SA"/>
        </w:rPr>
        <w:t>. Nonetheless, in an</w:t>
      </w:r>
      <w:r w:rsidR="00107A40">
        <w:rPr>
          <w:rFonts w:eastAsiaTheme="minorHAnsi"/>
          <w:sz w:val="24"/>
          <w:szCs w:val="23"/>
          <w:lang w:bidi="ar-SA"/>
        </w:rPr>
        <w:t xml:space="preserve"> </w:t>
      </w:r>
      <w:r w:rsidRPr="00015E40">
        <w:rPr>
          <w:rFonts w:eastAsiaTheme="minorHAnsi"/>
          <w:sz w:val="24"/>
          <w:szCs w:val="23"/>
          <w:lang w:bidi="ar-SA"/>
        </w:rPr>
        <w:t>effort to respond to what appears to be questions relating to the support and calculations for</w:t>
      </w:r>
      <w:r w:rsidR="00107A40">
        <w:rPr>
          <w:rFonts w:eastAsiaTheme="minorHAnsi"/>
          <w:sz w:val="24"/>
          <w:szCs w:val="23"/>
          <w:lang w:bidi="ar-SA"/>
        </w:rPr>
        <w:t xml:space="preserve"> </w:t>
      </w:r>
      <w:r w:rsidRPr="00015E40">
        <w:rPr>
          <w:rFonts w:eastAsiaTheme="minorHAnsi"/>
          <w:sz w:val="24"/>
          <w:szCs w:val="23"/>
          <w:lang w:bidi="ar-SA"/>
        </w:rPr>
        <w:t>water sales due to United from the Partnership, Defendants submit that the calculations set forth</w:t>
      </w:r>
      <w:r w:rsidR="00107A40">
        <w:rPr>
          <w:rFonts w:eastAsiaTheme="minorHAnsi"/>
          <w:sz w:val="24"/>
          <w:szCs w:val="23"/>
          <w:lang w:bidi="ar-SA"/>
        </w:rPr>
        <w:t xml:space="preserve"> </w:t>
      </w:r>
      <w:r w:rsidRPr="00015E40">
        <w:rPr>
          <w:rFonts w:eastAsiaTheme="minorHAnsi"/>
          <w:sz w:val="24"/>
          <w:szCs w:val="23"/>
          <w:lang w:bidi="ar-SA"/>
        </w:rPr>
        <w:t>Yusuf</w:t>
      </w:r>
      <w:r w:rsidR="007A6F36">
        <w:rPr>
          <w:rFonts w:eastAsiaTheme="minorHAnsi"/>
          <w:sz w:val="24"/>
          <w:szCs w:val="23"/>
          <w:lang w:bidi="ar-SA"/>
        </w:rPr>
        <w:t>'</w:t>
      </w:r>
      <w:r w:rsidRPr="00015E40">
        <w:rPr>
          <w:rFonts w:eastAsiaTheme="minorHAnsi"/>
          <w:sz w:val="24"/>
          <w:szCs w:val="23"/>
          <w:lang w:bidi="ar-SA"/>
        </w:rPr>
        <w:t>s Amended Accounting Claims Limited to Transactions Occurring On or After September</w:t>
      </w:r>
      <w:r w:rsidR="00107A40">
        <w:rPr>
          <w:rFonts w:eastAsiaTheme="minorHAnsi"/>
          <w:sz w:val="24"/>
          <w:szCs w:val="23"/>
          <w:lang w:bidi="ar-SA"/>
        </w:rPr>
        <w:t xml:space="preserve"> </w:t>
      </w:r>
      <w:r w:rsidRPr="00015E40">
        <w:rPr>
          <w:rFonts w:eastAsiaTheme="minorHAnsi"/>
          <w:sz w:val="24"/>
          <w:szCs w:val="23"/>
          <w:lang w:bidi="ar-SA"/>
        </w:rPr>
        <w:t>17, 2006 ("Yusuf s Claims") were based upon two years of sales in 1997 ($52,000) and 1998</w:t>
      </w:r>
      <w:r w:rsidR="00107A40">
        <w:rPr>
          <w:rFonts w:eastAsiaTheme="minorHAnsi"/>
          <w:sz w:val="24"/>
          <w:szCs w:val="23"/>
          <w:lang w:bidi="ar-SA"/>
        </w:rPr>
        <w:t xml:space="preserve"> </w:t>
      </w:r>
      <w:r w:rsidRPr="00015E40">
        <w:rPr>
          <w:rFonts w:eastAsiaTheme="minorHAnsi"/>
          <w:sz w:val="24"/>
          <w:szCs w:val="23"/>
          <w:lang w:bidi="ar-SA"/>
        </w:rPr>
        <w:t>($75,000) for an average of $5,291.66 per month.</w:t>
      </w:r>
      <w:r w:rsidR="007A6F36">
        <w:rPr>
          <w:rFonts w:eastAsiaTheme="minorHAnsi"/>
          <w:sz w:val="24"/>
          <w:szCs w:val="23"/>
          <w:lang w:bidi="ar-SA"/>
        </w:rPr>
        <w:t>[</w:t>
      </w:r>
      <w:r w:rsidR="007A6F36">
        <w:rPr>
          <w:rStyle w:val="FootnoteReference"/>
          <w:rFonts w:eastAsiaTheme="minorHAnsi"/>
          <w:sz w:val="24"/>
          <w:szCs w:val="23"/>
          <w:lang w:bidi="ar-SA"/>
        </w:rPr>
        <w:footnoteReference w:id="2"/>
      </w:r>
      <w:r w:rsidR="007A6F36">
        <w:rPr>
          <w:rFonts w:eastAsiaTheme="minorHAnsi"/>
          <w:sz w:val="24"/>
          <w:szCs w:val="23"/>
          <w:lang w:bidi="ar-SA"/>
        </w:rPr>
        <w:t>]</w:t>
      </w:r>
      <w:r w:rsidRPr="00015E40">
        <w:rPr>
          <w:rFonts w:eastAsiaTheme="minorHAnsi"/>
          <w:sz w:val="24"/>
          <w:szCs w:val="23"/>
          <w:lang w:bidi="ar-SA"/>
        </w:rPr>
        <w:t xml:space="preserve"> As Waleed Hamed was in charge of the Plaza</w:t>
      </w:r>
      <w:r w:rsidR="00107A40">
        <w:rPr>
          <w:rFonts w:eastAsiaTheme="minorHAnsi"/>
          <w:sz w:val="24"/>
          <w:szCs w:val="23"/>
          <w:lang w:bidi="ar-SA"/>
        </w:rPr>
        <w:t xml:space="preserve"> </w:t>
      </w:r>
      <w:r w:rsidRPr="00015E40">
        <w:rPr>
          <w:rFonts w:eastAsiaTheme="minorHAnsi"/>
          <w:sz w:val="24"/>
          <w:szCs w:val="23"/>
          <w:lang w:bidi="ar-SA"/>
        </w:rPr>
        <w:t>Extra -East location where the sales took place, Yusuf will be seeking additional information</w:t>
      </w:r>
      <w:r w:rsidR="00107A40">
        <w:rPr>
          <w:rFonts w:eastAsiaTheme="minorHAnsi"/>
          <w:sz w:val="24"/>
          <w:szCs w:val="23"/>
          <w:lang w:bidi="ar-SA"/>
        </w:rPr>
        <w:t xml:space="preserve"> </w:t>
      </w:r>
      <w:r w:rsidRPr="00015E40">
        <w:rPr>
          <w:rFonts w:eastAsiaTheme="minorHAnsi"/>
          <w:sz w:val="24"/>
          <w:szCs w:val="23"/>
          <w:lang w:bidi="ar-SA"/>
        </w:rPr>
        <w:t>from him as part of the written discovery propounded on him. The number listed in the claims</w:t>
      </w:r>
      <w:r w:rsidR="00107A40">
        <w:rPr>
          <w:rFonts w:eastAsiaTheme="minorHAnsi"/>
          <w:sz w:val="24"/>
          <w:szCs w:val="23"/>
          <w:lang w:bidi="ar-SA"/>
        </w:rPr>
        <w:t xml:space="preserve"> </w:t>
      </w:r>
      <w:r w:rsidRPr="00015E40">
        <w:rPr>
          <w:rFonts w:eastAsiaTheme="minorHAnsi"/>
          <w:sz w:val="24"/>
          <w:szCs w:val="23"/>
          <w:lang w:bidi="ar-SA"/>
        </w:rPr>
        <w:t xml:space="preserve">was the average monthly sales multiplied by 131 months demonstrating </w:t>
      </w:r>
      <w:r w:rsidRPr="00015E40">
        <w:rPr>
          <w:rFonts w:eastAsiaTheme="minorHAnsi"/>
          <w:sz w:val="24"/>
          <w:szCs w:val="23"/>
          <w:lang w:bidi="ar-SA"/>
        </w:rPr>
        <w:lastRenderedPageBreak/>
        <w:t>that United is owed</w:t>
      </w:r>
      <w:r w:rsidR="00107A40">
        <w:rPr>
          <w:rFonts w:eastAsiaTheme="minorHAnsi"/>
          <w:sz w:val="24"/>
          <w:szCs w:val="23"/>
          <w:lang w:bidi="ar-SA"/>
        </w:rPr>
        <w:t xml:space="preserve"> </w:t>
      </w:r>
      <w:r w:rsidRPr="00015E40">
        <w:rPr>
          <w:rFonts w:eastAsiaTheme="minorHAnsi"/>
          <w:sz w:val="24"/>
          <w:szCs w:val="23"/>
          <w:lang w:bidi="ar-SA"/>
        </w:rPr>
        <w:t>$693,207.46</w:t>
      </w:r>
      <w:r w:rsidR="004F39F9">
        <w:rPr>
          <w:rFonts w:eastAsiaTheme="minorHAnsi"/>
          <w:sz w:val="24"/>
          <w:szCs w:val="23"/>
          <w:lang w:bidi="ar-SA"/>
        </w:rPr>
        <w:t>[</w:t>
      </w:r>
      <w:r w:rsidR="004F39F9">
        <w:rPr>
          <w:rStyle w:val="FootnoteReference"/>
          <w:rFonts w:eastAsiaTheme="minorHAnsi"/>
          <w:sz w:val="24"/>
          <w:szCs w:val="23"/>
          <w:lang w:bidi="ar-SA"/>
        </w:rPr>
        <w:footnoteReference w:id="3"/>
      </w:r>
      <w:r w:rsidR="004F39F9">
        <w:rPr>
          <w:rFonts w:eastAsiaTheme="minorHAnsi"/>
          <w:sz w:val="24"/>
          <w:szCs w:val="23"/>
          <w:lang w:bidi="ar-SA"/>
        </w:rPr>
        <w:t>]</w:t>
      </w:r>
      <w:r w:rsidRPr="00015E40">
        <w:rPr>
          <w:rFonts w:eastAsiaTheme="minorHAnsi"/>
          <w:sz w:val="24"/>
          <w:szCs w:val="23"/>
          <w:lang w:bidi="ar-SA"/>
        </w:rPr>
        <w:t xml:space="preserve"> from the Partnership for the water sales revenue from April 1, 2004 through</w:t>
      </w:r>
      <w:r w:rsidR="00107A40">
        <w:rPr>
          <w:rFonts w:eastAsiaTheme="minorHAnsi"/>
          <w:sz w:val="24"/>
          <w:szCs w:val="23"/>
          <w:lang w:bidi="ar-SA"/>
        </w:rPr>
        <w:t xml:space="preserve"> </w:t>
      </w:r>
      <w:r w:rsidRPr="00015E40">
        <w:rPr>
          <w:rFonts w:eastAsiaTheme="minorHAnsi"/>
          <w:sz w:val="24"/>
          <w:szCs w:val="23"/>
          <w:lang w:bidi="ar-SA"/>
        </w:rPr>
        <w:t>February 28, 2015. Yusuf submits that discovery is on-going and that he will supplement this</w:t>
      </w:r>
      <w:r w:rsidR="00107A40">
        <w:rPr>
          <w:rFonts w:eastAsiaTheme="minorHAnsi"/>
          <w:sz w:val="24"/>
          <w:szCs w:val="23"/>
          <w:lang w:bidi="ar-SA"/>
        </w:rPr>
        <w:t xml:space="preserve"> </w:t>
      </w:r>
      <w:r w:rsidRPr="00015E40">
        <w:rPr>
          <w:rFonts w:eastAsiaTheme="minorHAnsi"/>
          <w:sz w:val="24"/>
          <w:szCs w:val="23"/>
          <w:lang w:bidi="ar-SA"/>
        </w:rPr>
        <w:t>response as and when appropriate.</w:t>
      </w:r>
    </w:p>
    <w:p w:rsidR="009338B8" w:rsidRDefault="009338B8" w:rsidP="00B47160">
      <w:pPr>
        <w:rPr>
          <w:b/>
          <w:sz w:val="24"/>
        </w:rPr>
      </w:pPr>
    </w:p>
    <w:p w:rsidR="00E412D9" w:rsidRDefault="00E412D9" w:rsidP="00B47160">
      <w:pPr>
        <w:rPr>
          <w:b/>
          <w:sz w:val="24"/>
        </w:rPr>
      </w:pPr>
      <w:r w:rsidRPr="00E412D9">
        <w:rPr>
          <w:b/>
          <w:sz w:val="24"/>
        </w:rPr>
        <w:t>I</w:t>
      </w:r>
      <w:r w:rsidR="008D01C8">
        <w:rPr>
          <w:b/>
          <w:sz w:val="24"/>
        </w:rPr>
        <w:t>I</w:t>
      </w:r>
      <w:r w:rsidRPr="00E412D9">
        <w:rPr>
          <w:b/>
          <w:sz w:val="24"/>
        </w:rPr>
        <w:t>I. Applicable Law</w:t>
      </w:r>
    </w:p>
    <w:p w:rsidR="00B47160" w:rsidRPr="00E412D9" w:rsidRDefault="00B47160" w:rsidP="00B47160">
      <w:pPr>
        <w:rPr>
          <w:b/>
          <w:sz w:val="24"/>
        </w:rPr>
      </w:pPr>
    </w:p>
    <w:p w:rsidR="009279C8" w:rsidRPr="0070378A" w:rsidRDefault="00E412D9" w:rsidP="00E9282D">
      <w:pPr>
        <w:pStyle w:val="BodyText"/>
        <w:spacing w:line="480" w:lineRule="auto"/>
        <w:ind w:right="202" w:firstLine="720"/>
        <w:rPr>
          <w:b/>
          <w:color w:val="2C2C2C"/>
        </w:rPr>
      </w:pPr>
      <w:r w:rsidRPr="0070378A">
        <w:rPr>
          <w:b/>
          <w:color w:val="2C2C2C"/>
        </w:rPr>
        <w:t xml:space="preserve">1. </w:t>
      </w:r>
      <w:r w:rsidR="00E9282D">
        <w:rPr>
          <w:b/>
          <w:color w:val="2C2C2C"/>
        </w:rPr>
        <w:t xml:space="preserve">The USVI </w:t>
      </w:r>
      <w:r w:rsidRPr="0070378A">
        <w:rPr>
          <w:b/>
          <w:color w:val="2C2C2C"/>
        </w:rPr>
        <w:t>Statute of Limitations</w:t>
      </w:r>
    </w:p>
    <w:p w:rsidR="00412E23" w:rsidRPr="00E058FE" w:rsidRDefault="00E058FE" w:rsidP="00E058FE">
      <w:pPr>
        <w:pStyle w:val="BodyText"/>
        <w:widowControl/>
        <w:spacing w:line="480" w:lineRule="auto"/>
        <w:jc w:val="both"/>
      </w:pPr>
      <w:r>
        <w:tab/>
      </w:r>
      <w:r w:rsidR="008700BE" w:rsidRPr="00E058FE">
        <w:t xml:space="preserve">The </w:t>
      </w:r>
      <w:r w:rsidR="008A38E0" w:rsidRPr="00E058FE">
        <w:t>SOL</w:t>
      </w:r>
      <w:r w:rsidR="008700BE" w:rsidRPr="00E058FE">
        <w:t xml:space="preserve"> applicable in this action is 5 V.I.C. §31(3)</w:t>
      </w:r>
      <w:r w:rsidR="0070378A" w:rsidRPr="00E058FE">
        <w:t>.</w:t>
      </w:r>
      <w:r w:rsidR="00BA040C" w:rsidRPr="00CC6321">
        <w:rPr>
          <w:rStyle w:val="FootnoteReference"/>
        </w:rPr>
        <w:footnoteReference w:id="4"/>
      </w:r>
      <w:r w:rsidR="0070378A" w:rsidRPr="00CC6321">
        <w:rPr>
          <w:vertAlign w:val="superscript"/>
        </w:rPr>
        <w:t xml:space="preserve"> </w:t>
      </w:r>
      <w:r w:rsidR="00BD3811">
        <w:rPr>
          <w:vertAlign w:val="superscript"/>
        </w:rPr>
        <w:t xml:space="preserve"> </w:t>
      </w:r>
      <w:r w:rsidR="0070378A" w:rsidRPr="00E058FE">
        <w:t>T</w:t>
      </w:r>
      <w:r w:rsidR="008700BE" w:rsidRPr="00E058FE">
        <w:t xml:space="preserve">he statute of limitations for actions </w:t>
      </w:r>
      <w:r w:rsidR="00E9282D">
        <w:t>sounding in</w:t>
      </w:r>
      <w:r w:rsidR="008700BE" w:rsidRPr="00E058FE">
        <w:t xml:space="preserve"> </w:t>
      </w:r>
      <w:r w:rsidR="008A38E0" w:rsidRPr="00E058FE">
        <w:t>contract</w:t>
      </w:r>
      <w:r w:rsidR="008700BE" w:rsidRPr="00E058FE">
        <w:t xml:space="preserve"> is 6 years. Thus, the limitations period for </w:t>
      </w:r>
      <w:r w:rsidR="002062BF">
        <w:t>United Corporation’s</w:t>
      </w:r>
      <w:r w:rsidR="00CC6321">
        <w:t xml:space="preserve"> </w:t>
      </w:r>
      <w:r w:rsidR="008700BE" w:rsidRPr="00E058FE">
        <w:t xml:space="preserve">claim is 6 years. </w:t>
      </w:r>
      <w:r w:rsidR="0070378A" w:rsidRPr="00E058FE">
        <w:t>T</w:t>
      </w:r>
      <w:r w:rsidR="008700BE" w:rsidRPr="00E058FE">
        <w:t xml:space="preserve">he </w:t>
      </w:r>
      <w:r w:rsidR="00FA005E" w:rsidRPr="00E058FE">
        <w:t>SOL</w:t>
      </w:r>
      <w:r w:rsidR="008700BE" w:rsidRPr="00E058FE">
        <w:t xml:space="preserve"> governing counterclaims relates back to the time the original complaint was filed.</w:t>
      </w:r>
      <w:r w:rsidR="0070378A" w:rsidRPr="00E058FE">
        <w:t xml:space="preserve"> </w:t>
      </w:r>
      <w:r w:rsidR="0070378A" w:rsidRPr="00E37FBF">
        <w:rPr>
          <w:i/>
        </w:rPr>
        <w:t>James v. Antilles Gas Co</w:t>
      </w:r>
      <w:r w:rsidR="0070378A" w:rsidRPr="00E058FE">
        <w:t>., 2000 WL 1349233 (V.I. Super. 2000) (</w:t>
      </w:r>
      <w:proofErr w:type="spellStart"/>
      <w:r w:rsidR="0070378A" w:rsidRPr="00E058FE">
        <w:t>Cabret</w:t>
      </w:r>
      <w:proofErr w:type="spellEnd"/>
      <w:r w:rsidR="0070378A" w:rsidRPr="00E058FE">
        <w:t>, J.)</w:t>
      </w:r>
      <w:r w:rsidR="008700BE" w:rsidRPr="00E058FE">
        <w:t xml:space="preserve"> </w:t>
      </w:r>
      <w:r w:rsidR="0070378A" w:rsidRPr="00E058FE">
        <w:t>T</w:t>
      </w:r>
      <w:r w:rsidR="008700BE" w:rsidRPr="00E058FE">
        <w:t xml:space="preserve">he </w:t>
      </w:r>
      <w:r w:rsidR="00FA005E" w:rsidRPr="00E058FE">
        <w:t>SOL</w:t>
      </w:r>
      <w:r w:rsidR="008700BE" w:rsidRPr="00E058FE">
        <w:t xml:space="preserve"> for </w:t>
      </w:r>
      <w:r w:rsidR="0070378A" w:rsidRPr="00E058FE">
        <w:t>United's</w:t>
      </w:r>
      <w:r w:rsidR="008700BE" w:rsidRPr="00E058FE">
        <w:t xml:space="preserve"> </w:t>
      </w:r>
      <w:r w:rsidR="00FA005E" w:rsidRPr="00E058FE">
        <w:t>contract</w:t>
      </w:r>
      <w:r w:rsidR="008700BE" w:rsidRPr="00E058FE">
        <w:t xml:space="preserve"> claim</w:t>
      </w:r>
      <w:r w:rsidR="0070378A" w:rsidRPr="00E058FE">
        <w:t xml:space="preserve"> are barred </w:t>
      </w:r>
      <w:r w:rsidR="008700BE" w:rsidRPr="00E058FE">
        <w:t xml:space="preserve">to </w:t>
      </w:r>
      <w:r w:rsidR="0070378A" w:rsidRPr="00E058FE">
        <w:t>the exten</w:t>
      </w:r>
      <w:r w:rsidR="0069655E" w:rsidRPr="00E058FE">
        <w:t>t</w:t>
      </w:r>
      <w:r w:rsidR="0070378A" w:rsidRPr="00E058FE">
        <w:t xml:space="preserve"> that they arose </w:t>
      </w:r>
      <w:r w:rsidR="005D4731">
        <w:t xml:space="preserve">more than </w:t>
      </w:r>
      <w:r w:rsidR="008700BE" w:rsidRPr="00E058FE">
        <w:t xml:space="preserve">6 years before the complaint was filed, which was on September 17, 2012. </w:t>
      </w:r>
      <w:r w:rsidR="00B5616C">
        <w:t xml:space="preserve"> </w:t>
      </w:r>
    </w:p>
    <w:p w:rsidR="0070378A" w:rsidRDefault="0070378A" w:rsidP="0070378A">
      <w:pPr>
        <w:widowControl/>
        <w:spacing w:line="480" w:lineRule="auto"/>
        <w:jc w:val="both"/>
        <w:rPr>
          <w:b/>
          <w:sz w:val="24"/>
        </w:rPr>
      </w:pPr>
      <w:r w:rsidRPr="007D014E">
        <w:rPr>
          <w:b/>
          <w:sz w:val="24"/>
        </w:rPr>
        <w:tab/>
        <w:t xml:space="preserve">2. </w:t>
      </w:r>
      <w:r w:rsidR="00E9282D">
        <w:rPr>
          <w:b/>
          <w:sz w:val="24"/>
        </w:rPr>
        <w:t xml:space="preserve">The </w:t>
      </w:r>
      <w:r w:rsidRPr="007D014E">
        <w:rPr>
          <w:b/>
          <w:sz w:val="24"/>
        </w:rPr>
        <w:t>Statute of Frauds</w:t>
      </w:r>
    </w:p>
    <w:p w:rsidR="00FA005E" w:rsidRDefault="00FA005E" w:rsidP="0070378A">
      <w:pPr>
        <w:widowControl/>
        <w:spacing w:line="480" w:lineRule="auto"/>
        <w:jc w:val="both"/>
        <w:rPr>
          <w:sz w:val="24"/>
        </w:rPr>
      </w:pPr>
      <w:r>
        <w:rPr>
          <w:sz w:val="24"/>
        </w:rPr>
        <w:tab/>
        <w:t>In 2015, the VI Supreme Court examined the statute of frauds in detail</w:t>
      </w:r>
      <w:r w:rsidR="00030CD0">
        <w:rPr>
          <w:sz w:val="24"/>
        </w:rPr>
        <w:t xml:space="preserve"> in </w:t>
      </w:r>
      <w:proofErr w:type="spellStart"/>
      <w:r w:rsidR="00030CD0" w:rsidRPr="00FA005E">
        <w:rPr>
          <w:rFonts w:eastAsia="Times New Roman"/>
          <w:i/>
          <w:iCs/>
          <w:color w:val="000000"/>
          <w:sz w:val="24"/>
          <w:szCs w:val="24"/>
          <w:lang w:bidi="ar-SA"/>
        </w:rPr>
        <w:t>Brouillard</w:t>
      </w:r>
      <w:proofErr w:type="spellEnd"/>
      <w:r w:rsidR="00030CD0" w:rsidRPr="00FA005E">
        <w:rPr>
          <w:rFonts w:eastAsia="Times New Roman"/>
          <w:i/>
          <w:iCs/>
          <w:color w:val="000000"/>
          <w:sz w:val="24"/>
          <w:szCs w:val="24"/>
          <w:lang w:bidi="ar-SA"/>
        </w:rPr>
        <w:t xml:space="preserve"> v. </w:t>
      </w:r>
      <w:proofErr w:type="spellStart"/>
      <w:r w:rsidR="00030CD0" w:rsidRPr="00FA005E">
        <w:rPr>
          <w:rFonts w:eastAsia="Times New Roman"/>
          <w:i/>
          <w:iCs/>
          <w:color w:val="000000"/>
          <w:sz w:val="24"/>
          <w:szCs w:val="24"/>
          <w:lang w:bidi="ar-SA"/>
        </w:rPr>
        <w:t>DLJ</w:t>
      </w:r>
      <w:proofErr w:type="spellEnd"/>
      <w:r w:rsidR="00030CD0" w:rsidRPr="00FA005E">
        <w:rPr>
          <w:rFonts w:eastAsia="Times New Roman"/>
          <w:i/>
          <w:iCs/>
          <w:color w:val="000000"/>
          <w:sz w:val="24"/>
          <w:szCs w:val="24"/>
          <w:lang w:bidi="ar-SA"/>
        </w:rPr>
        <w:t xml:space="preserve"> </w:t>
      </w:r>
      <w:proofErr w:type="spellStart"/>
      <w:r w:rsidR="00030CD0" w:rsidRPr="00FA005E">
        <w:rPr>
          <w:rFonts w:eastAsia="Times New Roman"/>
          <w:i/>
          <w:iCs/>
          <w:color w:val="000000"/>
          <w:sz w:val="24"/>
          <w:szCs w:val="24"/>
          <w:lang w:bidi="ar-SA"/>
        </w:rPr>
        <w:t>Mortg</w:t>
      </w:r>
      <w:proofErr w:type="spellEnd"/>
      <w:r w:rsidR="00030CD0" w:rsidRPr="00FA005E">
        <w:rPr>
          <w:rFonts w:eastAsia="Times New Roman"/>
          <w:i/>
          <w:iCs/>
          <w:color w:val="000000"/>
          <w:sz w:val="24"/>
          <w:szCs w:val="24"/>
          <w:lang w:bidi="ar-SA"/>
        </w:rPr>
        <w:t>. Capital, Inc.</w:t>
      </w:r>
      <w:r w:rsidR="00030CD0" w:rsidRPr="00FA005E">
        <w:rPr>
          <w:rFonts w:eastAsia="Times New Roman"/>
          <w:color w:val="000000"/>
          <w:sz w:val="24"/>
          <w:szCs w:val="24"/>
          <w:lang w:bidi="ar-SA"/>
        </w:rPr>
        <w:t>, 63 V.I. 788, 797–98, 2015 WL 6549224, at *5–6 (V.I. Oct. 28, 2015)</w:t>
      </w:r>
      <w:r w:rsidR="00BD3811">
        <w:rPr>
          <w:rFonts w:eastAsia="Times New Roman"/>
          <w:color w:val="000000"/>
          <w:sz w:val="24"/>
          <w:szCs w:val="24"/>
          <w:lang w:bidi="ar-SA"/>
        </w:rPr>
        <w:t>(footnote omitted)</w:t>
      </w:r>
      <w:r w:rsidR="00030CD0">
        <w:rPr>
          <w:rFonts w:eastAsia="Times New Roman"/>
          <w:color w:val="000000"/>
          <w:sz w:val="24"/>
          <w:szCs w:val="24"/>
          <w:lang w:bidi="ar-SA"/>
        </w:rPr>
        <w:t>. At 5-6 of that decision, the Court stated:</w:t>
      </w:r>
    </w:p>
    <w:p w:rsidR="00FA005E" w:rsidRDefault="00FA005E" w:rsidP="00FA005E">
      <w:pPr>
        <w:widowControl/>
        <w:shd w:val="clear" w:color="auto" w:fill="FFFFFF"/>
        <w:autoSpaceDE/>
        <w:autoSpaceDN/>
        <w:ind w:left="720" w:right="720"/>
        <w:jc w:val="both"/>
        <w:rPr>
          <w:rFonts w:eastAsia="Times New Roman"/>
          <w:b/>
          <w:bCs/>
          <w:color w:val="000000"/>
          <w:sz w:val="24"/>
          <w:szCs w:val="24"/>
          <w:lang w:bidi="ar-SA"/>
        </w:rPr>
      </w:pPr>
      <w:r w:rsidRPr="00FA005E">
        <w:rPr>
          <w:rFonts w:eastAsia="Times New Roman"/>
          <w:b/>
          <w:bCs/>
          <w:color w:val="000000"/>
          <w:sz w:val="24"/>
          <w:szCs w:val="24"/>
          <w:lang w:bidi="ar-SA"/>
        </w:rPr>
        <w:t xml:space="preserve">C. The Superior Court correctly granted summary judgment on the </w:t>
      </w:r>
      <w:proofErr w:type="spellStart"/>
      <w:r w:rsidRPr="00FA005E">
        <w:rPr>
          <w:rFonts w:eastAsia="Times New Roman"/>
          <w:b/>
          <w:bCs/>
          <w:color w:val="000000"/>
          <w:sz w:val="24"/>
          <w:szCs w:val="24"/>
          <w:lang w:bidi="ar-SA"/>
        </w:rPr>
        <w:t>Brouillards</w:t>
      </w:r>
      <w:proofErr w:type="spellEnd"/>
      <w:r w:rsidRPr="00FA005E">
        <w:rPr>
          <w:rFonts w:eastAsia="Times New Roman"/>
          <w:b/>
          <w:bCs/>
          <w:color w:val="000000"/>
          <w:sz w:val="24"/>
          <w:szCs w:val="24"/>
          <w:lang w:bidi="ar-SA"/>
        </w:rPr>
        <w:t xml:space="preserve"> contract claims because they were barred by the </w:t>
      </w:r>
      <w:r w:rsidRPr="00FA005E">
        <w:rPr>
          <w:rFonts w:eastAsia="Times New Roman"/>
          <w:b/>
          <w:bCs/>
          <w:color w:val="000000"/>
          <w:sz w:val="24"/>
          <w:szCs w:val="24"/>
          <w:shd w:val="clear" w:color="auto" w:fill="FFFFFF"/>
          <w:lang w:bidi="ar-SA"/>
        </w:rPr>
        <w:t>Statute</w:t>
      </w:r>
      <w:r w:rsidRPr="00FA005E">
        <w:rPr>
          <w:rFonts w:eastAsia="Times New Roman"/>
          <w:b/>
          <w:bCs/>
          <w:color w:val="000000"/>
          <w:sz w:val="24"/>
          <w:szCs w:val="24"/>
          <w:lang w:bidi="ar-SA"/>
        </w:rPr>
        <w:t xml:space="preserve"> </w:t>
      </w:r>
      <w:r w:rsidRPr="00FA005E">
        <w:rPr>
          <w:rFonts w:eastAsia="Times New Roman"/>
          <w:b/>
          <w:bCs/>
          <w:color w:val="000000"/>
          <w:sz w:val="24"/>
          <w:szCs w:val="24"/>
          <w:shd w:val="clear" w:color="auto" w:fill="FFFFFF"/>
          <w:lang w:bidi="ar-SA"/>
        </w:rPr>
        <w:t>of</w:t>
      </w:r>
      <w:r w:rsidRPr="00FA005E">
        <w:rPr>
          <w:rFonts w:eastAsia="Times New Roman"/>
          <w:b/>
          <w:bCs/>
          <w:color w:val="000000"/>
          <w:sz w:val="24"/>
          <w:szCs w:val="24"/>
          <w:lang w:bidi="ar-SA"/>
        </w:rPr>
        <w:t xml:space="preserve"> </w:t>
      </w:r>
      <w:r w:rsidRPr="00FA005E">
        <w:rPr>
          <w:rFonts w:eastAsia="Times New Roman"/>
          <w:b/>
          <w:bCs/>
          <w:color w:val="000000"/>
          <w:sz w:val="24"/>
          <w:szCs w:val="24"/>
          <w:shd w:val="clear" w:color="auto" w:fill="FFFFFF"/>
          <w:lang w:bidi="ar-SA"/>
        </w:rPr>
        <w:t>Frauds</w:t>
      </w:r>
      <w:r w:rsidRPr="00FA005E">
        <w:rPr>
          <w:rFonts w:eastAsia="Times New Roman"/>
          <w:b/>
          <w:bCs/>
          <w:color w:val="000000"/>
          <w:sz w:val="24"/>
          <w:szCs w:val="24"/>
          <w:lang w:bidi="ar-SA"/>
        </w:rPr>
        <w:t>.</w:t>
      </w:r>
    </w:p>
    <w:p w:rsidR="00FA005E" w:rsidRPr="00FA005E" w:rsidRDefault="00FA005E" w:rsidP="00FA005E">
      <w:pPr>
        <w:widowControl/>
        <w:shd w:val="clear" w:color="auto" w:fill="FFFFFF"/>
        <w:autoSpaceDE/>
        <w:autoSpaceDN/>
        <w:ind w:left="720" w:right="720"/>
        <w:jc w:val="both"/>
        <w:rPr>
          <w:rFonts w:eastAsia="Times New Roman"/>
          <w:b/>
          <w:bCs/>
          <w:color w:val="000000"/>
          <w:sz w:val="24"/>
          <w:szCs w:val="24"/>
          <w:lang w:bidi="ar-SA"/>
        </w:rPr>
      </w:pPr>
    </w:p>
    <w:p w:rsidR="00FA005E" w:rsidRDefault="00FA005E" w:rsidP="00FA005E">
      <w:pPr>
        <w:widowControl/>
        <w:shd w:val="clear" w:color="auto" w:fill="FFFFFF"/>
        <w:autoSpaceDE/>
        <w:autoSpaceDN/>
        <w:ind w:left="720" w:right="720"/>
        <w:jc w:val="both"/>
        <w:rPr>
          <w:rFonts w:eastAsia="Times New Roman"/>
          <w:color w:val="000000"/>
          <w:sz w:val="24"/>
          <w:szCs w:val="24"/>
          <w:lang w:bidi="ar-SA"/>
        </w:rPr>
      </w:pPr>
      <w:r w:rsidRPr="00FA005E">
        <w:rPr>
          <w:rFonts w:eastAsia="Times New Roman"/>
          <w:color w:val="000000"/>
          <w:sz w:val="24"/>
          <w:szCs w:val="24"/>
          <w:lang w:bidi="ar-SA"/>
        </w:rPr>
        <w:t xml:space="preserve">The </w:t>
      </w:r>
      <w:proofErr w:type="spellStart"/>
      <w:r w:rsidRPr="00FA005E">
        <w:rPr>
          <w:rFonts w:eastAsia="Times New Roman"/>
          <w:color w:val="000000"/>
          <w:sz w:val="24"/>
          <w:szCs w:val="24"/>
          <w:lang w:bidi="ar-SA"/>
        </w:rPr>
        <w:t>Brouillards</w:t>
      </w:r>
      <w:proofErr w:type="spellEnd"/>
      <w:r w:rsidRPr="00FA005E">
        <w:rPr>
          <w:rFonts w:eastAsia="Times New Roman"/>
          <w:color w:val="000000"/>
          <w:sz w:val="24"/>
          <w:szCs w:val="24"/>
          <w:lang w:bidi="ar-SA"/>
        </w:rPr>
        <w:t xml:space="preserve"> filed two contract claims against FirstBank in their answer to the motion for summary judgment: breach of the implied covenant of good faith and fair dealing and breach of contract. Both counterclaims rely on the </w:t>
      </w:r>
      <w:proofErr w:type="spellStart"/>
      <w:r w:rsidRPr="00FA005E">
        <w:rPr>
          <w:rFonts w:eastAsia="Times New Roman"/>
          <w:color w:val="000000"/>
          <w:sz w:val="24"/>
          <w:szCs w:val="24"/>
          <w:lang w:bidi="ar-SA"/>
        </w:rPr>
        <w:t>Brouillards</w:t>
      </w:r>
      <w:proofErr w:type="spellEnd"/>
      <w:r w:rsidRPr="00FA005E">
        <w:rPr>
          <w:rFonts w:eastAsia="Times New Roman"/>
          <w:color w:val="000000"/>
          <w:sz w:val="24"/>
          <w:szCs w:val="24"/>
          <w:lang w:bidi="ar-SA"/>
        </w:rPr>
        <w:t xml:space="preserve">' belief that FirstBank had a contractual obligation to provide additional funding in the form of a second loan to be executed in early 2007. The </w:t>
      </w:r>
      <w:proofErr w:type="spellStart"/>
      <w:r w:rsidRPr="00FA005E">
        <w:rPr>
          <w:rFonts w:eastAsia="Times New Roman"/>
          <w:color w:val="000000"/>
          <w:sz w:val="24"/>
          <w:szCs w:val="24"/>
          <w:lang w:bidi="ar-SA"/>
        </w:rPr>
        <w:t>Brouillards</w:t>
      </w:r>
      <w:proofErr w:type="spellEnd"/>
      <w:r w:rsidRPr="00FA005E">
        <w:rPr>
          <w:rFonts w:eastAsia="Times New Roman"/>
          <w:color w:val="000000"/>
          <w:sz w:val="24"/>
          <w:szCs w:val="24"/>
          <w:lang w:bidi="ar-SA"/>
        </w:rPr>
        <w:t xml:space="preserve"> allege that FirstBank's failure to provide additional funding has resulted in a breach.</w:t>
      </w:r>
    </w:p>
    <w:p w:rsidR="00FA005E" w:rsidRPr="00FA005E" w:rsidRDefault="00FA005E" w:rsidP="00FA005E">
      <w:pPr>
        <w:widowControl/>
        <w:shd w:val="clear" w:color="auto" w:fill="FFFFFF"/>
        <w:autoSpaceDE/>
        <w:autoSpaceDN/>
        <w:ind w:left="720" w:right="720"/>
        <w:jc w:val="both"/>
        <w:rPr>
          <w:rFonts w:eastAsia="Times New Roman"/>
          <w:color w:val="000000"/>
          <w:sz w:val="24"/>
          <w:szCs w:val="24"/>
          <w:lang w:bidi="ar-SA"/>
        </w:rPr>
      </w:pPr>
    </w:p>
    <w:p w:rsidR="00FA005E" w:rsidRDefault="00FA005E" w:rsidP="00FA005E">
      <w:pPr>
        <w:widowControl/>
        <w:shd w:val="clear" w:color="auto" w:fill="FFFFFF"/>
        <w:autoSpaceDE/>
        <w:autoSpaceDN/>
        <w:ind w:left="720" w:right="720"/>
        <w:jc w:val="both"/>
        <w:rPr>
          <w:rFonts w:eastAsia="Times New Roman"/>
          <w:color w:val="000000"/>
          <w:sz w:val="24"/>
          <w:szCs w:val="24"/>
          <w:lang w:bidi="ar-SA"/>
        </w:rPr>
      </w:pPr>
      <w:r w:rsidRPr="00FA005E">
        <w:rPr>
          <w:rFonts w:eastAsia="Times New Roman"/>
          <w:color w:val="000000"/>
          <w:sz w:val="24"/>
          <w:szCs w:val="24"/>
          <w:lang w:bidi="ar-SA"/>
        </w:rPr>
        <w:lastRenderedPageBreak/>
        <w:t xml:space="preserve">To establish a breach of contract claim, the </w:t>
      </w:r>
      <w:proofErr w:type="spellStart"/>
      <w:r w:rsidRPr="00FA005E">
        <w:rPr>
          <w:rFonts w:eastAsia="Times New Roman"/>
          <w:color w:val="000000"/>
          <w:sz w:val="24"/>
          <w:szCs w:val="24"/>
          <w:lang w:bidi="ar-SA"/>
        </w:rPr>
        <w:t>Brouillards</w:t>
      </w:r>
      <w:proofErr w:type="spellEnd"/>
      <w:r w:rsidRPr="00FA005E">
        <w:rPr>
          <w:rFonts w:eastAsia="Times New Roman"/>
          <w:color w:val="000000"/>
          <w:sz w:val="24"/>
          <w:szCs w:val="24"/>
          <w:lang w:bidi="ar-SA"/>
        </w:rPr>
        <w:t xml:space="preserve"> must prove that a contract existed, that there was a duty created by that contract, that such duty was breached, and that as a result they suffered damages. </w:t>
      </w:r>
      <w:r w:rsidRPr="00FA005E">
        <w:rPr>
          <w:rFonts w:eastAsia="Times New Roman"/>
          <w:color w:val="000000"/>
          <w:sz w:val="24"/>
          <w:szCs w:val="24"/>
          <w:shd w:val="clear" w:color="auto" w:fill="FFFFFF"/>
          <w:lang w:bidi="ar-SA"/>
        </w:rPr>
        <w:t>**798</w:t>
      </w:r>
      <w:r w:rsidRPr="00FA005E">
        <w:rPr>
          <w:rFonts w:eastAsia="Times New Roman"/>
          <w:color w:val="000000"/>
          <w:sz w:val="24"/>
          <w:szCs w:val="24"/>
          <w:lang w:bidi="ar-SA"/>
        </w:rPr>
        <w:t xml:space="preserve"> </w:t>
      </w:r>
      <w:r w:rsidRPr="00FA005E">
        <w:rPr>
          <w:rFonts w:eastAsia="Times New Roman"/>
          <w:i/>
          <w:iCs/>
          <w:color w:val="000000"/>
          <w:sz w:val="24"/>
          <w:szCs w:val="24"/>
          <w:lang w:bidi="ar-SA"/>
        </w:rPr>
        <w:t xml:space="preserve">Arlington Funding Servs., Inc. v. </w:t>
      </w:r>
      <w:proofErr w:type="spellStart"/>
      <w:r w:rsidRPr="00FA005E">
        <w:rPr>
          <w:rFonts w:eastAsia="Times New Roman"/>
          <w:i/>
          <w:iCs/>
          <w:color w:val="000000"/>
          <w:sz w:val="24"/>
          <w:szCs w:val="24"/>
          <w:lang w:bidi="ar-SA"/>
        </w:rPr>
        <w:t>Geigel</w:t>
      </w:r>
      <w:proofErr w:type="spellEnd"/>
      <w:r w:rsidRPr="00FA005E">
        <w:rPr>
          <w:rFonts w:eastAsia="Times New Roman"/>
          <w:i/>
          <w:iCs/>
          <w:color w:val="000000"/>
          <w:sz w:val="24"/>
          <w:szCs w:val="24"/>
          <w:lang w:bidi="ar-SA"/>
        </w:rPr>
        <w:t>,</w:t>
      </w:r>
      <w:r w:rsidRPr="00FA005E">
        <w:rPr>
          <w:rFonts w:eastAsia="Times New Roman"/>
          <w:color w:val="000000"/>
          <w:sz w:val="24"/>
          <w:szCs w:val="24"/>
          <w:lang w:bidi="ar-SA"/>
        </w:rPr>
        <w:t xml:space="preserve"> 51 </w:t>
      </w:r>
      <w:proofErr w:type="spellStart"/>
      <w:r w:rsidRPr="00FA005E">
        <w:rPr>
          <w:rFonts w:eastAsia="Times New Roman"/>
          <w:color w:val="000000"/>
          <w:sz w:val="24"/>
          <w:szCs w:val="24"/>
          <w:lang w:bidi="ar-SA"/>
        </w:rPr>
        <w:t>V.I</w:t>
      </w:r>
      <w:proofErr w:type="spellEnd"/>
      <w:r w:rsidRPr="00FA005E">
        <w:rPr>
          <w:rFonts w:eastAsia="Times New Roman"/>
          <w:color w:val="000000"/>
          <w:sz w:val="24"/>
          <w:szCs w:val="24"/>
          <w:lang w:bidi="ar-SA"/>
        </w:rPr>
        <w:t xml:space="preserve">. 118, 135 (V.I. 2009). We need only address the first element of whether a contract existed in responding to the </w:t>
      </w:r>
      <w:proofErr w:type="spellStart"/>
      <w:r w:rsidRPr="00FA005E">
        <w:rPr>
          <w:rFonts w:eastAsia="Times New Roman"/>
          <w:color w:val="000000"/>
          <w:sz w:val="24"/>
          <w:szCs w:val="24"/>
          <w:lang w:bidi="ar-SA"/>
        </w:rPr>
        <w:t>Brouillards</w:t>
      </w:r>
      <w:proofErr w:type="spellEnd"/>
      <w:r w:rsidRPr="00FA005E">
        <w:rPr>
          <w:rFonts w:eastAsia="Times New Roman"/>
          <w:color w:val="000000"/>
          <w:sz w:val="24"/>
          <w:szCs w:val="24"/>
          <w:lang w:bidi="ar-SA"/>
        </w:rPr>
        <w:t>' appeal, because it is dispositive.</w:t>
      </w:r>
    </w:p>
    <w:p w:rsidR="00E9282D" w:rsidRDefault="00E9282D" w:rsidP="00E9282D">
      <w:pPr>
        <w:widowControl/>
        <w:shd w:val="clear" w:color="auto" w:fill="FFFFFF"/>
        <w:autoSpaceDE/>
        <w:autoSpaceDN/>
        <w:ind w:left="720" w:right="720"/>
        <w:jc w:val="center"/>
        <w:rPr>
          <w:rFonts w:eastAsia="Times New Roman"/>
          <w:color w:val="000000"/>
          <w:sz w:val="24"/>
          <w:szCs w:val="24"/>
          <w:lang w:bidi="ar-SA"/>
        </w:rPr>
      </w:pPr>
      <w:r>
        <w:rPr>
          <w:rFonts w:eastAsia="Times New Roman"/>
          <w:color w:val="000000"/>
          <w:sz w:val="24"/>
          <w:szCs w:val="24"/>
          <w:lang w:bidi="ar-SA"/>
        </w:rPr>
        <w:t>* * * *</w:t>
      </w:r>
    </w:p>
    <w:p w:rsidR="00FA005E" w:rsidRDefault="00FA005E" w:rsidP="00FA005E">
      <w:pPr>
        <w:widowControl/>
        <w:shd w:val="clear" w:color="auto" w:fill="FFFFFF"/>
        <w:autoSpaceDE/>
        <w:autoSpaceDN/>
        <w:ind w:left="720" w:right="720"/>
        <w:jc w:val="both"/>
        <w:rPr>
          <w:rFonts w:eastAsia="Times New Roman"/>
          <w:color w:val="000000"/>
          <w:sz w:val="24"/>
          <w:szCs w:val="24"/>
          <w:lang w:bidi="ar-SA"/>
        </w:rPr>
      </w:pPr>
      <w:r w:rsidRPr="00E9282D">
        <w:rPr>
          <w:rFonts w:eastAsia="Times New Roman"/>
          <w:color w:val="000000"/>
          <w:sz w:val="24"/>
          <w:szCs w:val="24"/>
          <w:lang w:bidi="ar-SA"/>
        </w:rPr>
        <w:t xml:space="preserve">the </w:t>
      </w:r>
      <w:proofErr w:type="spellStart"/>
      <w:r w:rsidRPr="00E9282D">
        <w:rPr>
          <w:rFonts w:eastAsia="Times New Roman"/>
          <w:color w:val="000000"/>
          <w:sz w:val="24"/>
          <w:szCs w:val="24"/>
          <w:lang w:bidi="ar-SA"/>
        </w:rPr>
        <w:t>Brouillards</w:t>
      </w:r>
      <w:proofErr w:type="spellEnd"/>
      <w:r w:rsidRPr="00E9282D">
        <w:rPr>
          <w:rFonts w:eastAsia="Times New Roman"/>
          <w:color w:val="000000"/>
          <w:sz w:val="24"/>
          <w:szCs w:val="24"/>
          <w:lang w:bidi="ar-SA"/>
        </w:rPr>
        <w:t xml:space="preserve"> </w:t>
      </w:r>
      <w:r w:rsidRPr="00FA005E">
        <w:rPr>
          <w:rFonts w:eastAsia="Times New Roman"/>
          <w:b/>
          <w:color w:val="000000"/>
          <w:sz w:val="24"/>
          <w:szCs w:val="24"/>
          <w:lang w:bidi="ar-SA"/>
        </w:rPr>
        <w:t>rely on prior communications with FirstBank's loan officer to establish that they had an oral agreement.</w:t>
      </w:r>
      <w:r w:rsidRPr="00FA005E">
        <w:rPr>
          <w:rFonts w:eastAsia="Times New Roman"/>
          <w:color w:val="000000"/>
          <w:sz w:val="24"/>
          <w:szCs w:val="24"/>
          <w:lang w:bidi="ar-SA"/>
        </w:rPr>
        <w:t xml:space="preserve"> </w:t>
      </w:r>
      <w:r w:rsidRPr="00FA005E">
        <w:rPr>
          <w:rFonts w:eastAsia="Times New Roman"/>
          <w:b/>
          <w:color w:val="000000"/>
          <w:sz w:val="24"/>
          <w:szCs w:val="24"/>
          <w:lang w:bidi="ar-SA"/>
        </w:rPr>
        <w:t xml:space="preserve">Yet, even assuming that an oral agreement existed, it is barred by the </w:t>
      </w:r>
      <w:r w:rsidRPr="00FA005E">
        <w:rPr>
          <w:rFonts w:eastAsia="Times New Roman"/>
          <w:b/>
          <w:color w:val="000000"/>
          <w:sz w:val="24"/>
          <w:szCs w:val="24"/>
          <w:shd w:val="clear" w:color="auto" w:fill="FFFFFF"/>
          <w:lang w:bidi="ar-SA"/>
        </w:rPr>
        <w:t>Statute</w:t>
      </w:r>
      <w:r w:rsidRPr="00FA005E">
        <w:rPr>
          <w:rFonts w:eastAsia="Times New Roman"/>
          <w:b/>
          <w:color w:val="000000"/>
          <w:sz w:val="24"/>
          <w:szCs w:val="24"/>
          <w:lang w:bidi="ar-SA"/>
        </w:rPr>
        <w:t xml:space="preserve"> </w:t>
      </w:r>
      <w:r w:rsidRPr="00FA005E">
        <w:rPr>
          <w:rFonts w:eastAsia="Times New Roman"/>
          <w:b/>
          <w:color w:val="000000"/>
          <w:sz w:val="24"/>
          <w:szCs w:val="24"/>
          <w:shd w:val="clear" w:color="auto" w:fill="FFFFFF"/>
          <w:lang w:bidi="ar-SA"/>
        </w:rPr>
        <w:t>of</w:t>
      </w:r>
      <w:r w:rsidRPr="00FA005E">
        <w:rPr>
          <w:rFonts w:eastAsia="Times New Roman"/>
          <w:b/>
          <w:color w:val="000000"/>
          <w:sz w:val="24"/>
          <w:szCs w:val="24"/>
          <w:lang w:bidi="ar-SA"/>
        </w:rPr>
        <w:t xml:space="preserve"> </w:t>
      </w:r>
      <w:r w:rsidRPr="00FA005E">
        <w:rPr>
          <w:rFonts w:eastAsia="Times New Roman"/>
          <w:b/>
          <w:color w:val="000000"/>
          <w:sz w:val="24"/>
          <w:szCs w:val="24"/>
          <w:shd w:val="clear" w:color="auto" w:fill="FFFFFF"/>
          <w:lang w:bidi="ar-SA"/>
        </w:rPr>
        <w:t>Frauds</w:t>
      </w:r>
      <w:r w:rsidRPr="00FA005E">
        <w:rPr>
          <w:rFonts w:eastAsia="Times New Roman"/>
          <w:b/>
          <w:color w:val="000000"/>
          <w:sz w:val="24"/>
          <w:szCs w:val="24"/>
          <w:lang w:bidi="ar-SA"/>
        </w:rPr>
        <w:t>. As codified in the Virgin Islands</w:t>
      </w:r>
      <w:r w:rsidRPr="00FA005E">
        <w:rPr>
          <w:rFonts w:eastAsia="Times New Roman"/>
          <w:color w:val="000000"/>
          <w:sz w:val="24"/>
          <w:szCs w:val="24"/>
          <w:lang w:bidi="ar-SA"/>
        </w:rPr>
        <w:t xml:space="preserve">, the </w:t>
      </w:r>
      <w:r w:rsidRPr="00FA005E">
        <w:rPr>
          <w:rFonts w:eastAsia="Times New Roman"/>
          <w:color w:val="000000"/>
          <w:sz w:val="24"/>
          <w:szCs w:val="24"/>
          <w:shd w:val="clear" w:color="auto" w:fill="FFFFFF"/>
          <w:lang w:bidi="ar-SA"/>
        </w:rPr>
        <w:t>Statute</w:t>
      </w:r>
      <w:r w:rsidRPr="00FA005E">
        <w:rPr>
          <w:rFonts w:eastAsia="Times New Roman"/>
          <w:color w:val="000000"/>
          <w:sz w:val="24"/>
          <w:szCs w:val="24"/>
          <w:lang w:bidi="ar-SA"/>
        </w:rPr>
        <w:t xml:space="preserve"> </w:t>
      </w:r>
      <w:r w:rsidRPr="00FA005E">
        <w:rPr>
          <w:rFonts w:eastAsia="Times New Roman"/>
          <w:color w:val="000000"/>
          <w:sz w:val="24"/>
          <w:szCs w:val="24"/>
          <w:shd w:val="clear" w:color="auto" w:fill="FFFFFF"/>
          <w:lang w:bidi="ar-SA"/>
        </w:rPr>
        <w:t>of</w:t>
      </w:r>
      <w:r w:rsidRPr="00FA005E">
        <w:rPr>
          <w:rFonts w:eastAsia="Times New Roman"/>
          <w:color w:val="000000"/>
          <w:sz w:val="24"/>
          <w:szCs w:val="24"/>
          <w:lang w:bidi="ar-SA"/>
        </w:rPr>
        <w:t xml:space="preserve"> </w:t>
      </w:r>
      <w:r w:rsidRPr="00FA005E">
        <w:rPr>
          <w:rFonts w:eastAsia="Times New Roman"/>
          <w:color w:val="000000"/>
          <w:sz w:val="24"/>
          <w:szCs w:val="24"/>
          <w:shd w:val="clear" w:color="auto" w:fill="FFFFFF"/>
          <w:lang w:bidi="ar-SA"/>
        </w:rPr>
        <w:t>Frauds</w:t>
      </w:r>
      <w:r w:rsidRPr="00FA005E">
        <w:rPr>
          <w:rFonts w:eastAsia="Times New Roman"/>
          <w:color w:val="000000"/>
          <w:sz w:val="24"/>
          <w:szCs w:val="24"/>
          <w:lang w:bidi="ar-SA"/>
        </w:rPr>
        <w:t>, 28 V.I.C. § 244 provides in relevant part:</w:t>
      </w:r>
    </w:p>
    <w:p w:rsidR="00030CD0" w:rsidRPr="00FA005E" w:rsidRDefault="00030CD0" w:rsidP="00FA005E">
      <w:pPr>
        <w:widowControl/>
        <w:shd w:val="clear" w:color="auto" w:fill="FFFFFF"/>
        <w:autoSpaceDE/>
        <w:autoSpaceDN/>
        <w:ind w:left="720" w:right="720"/>
        <w:jc w:val="both"/>
        <w:rPr>
          <w:rFonts w:eastAsia="Times New Roman"/>
          <w:color w:val="000000"/>
          <w:sz w:val="24"/>
          <w:szCs w:val="24"/>
          <w:lang w:bidi="ar-SA"/>
        </w:rPr>
      </w:pPr>
    </w:p>
    <w:p w:rsidR="00FA005E" w:rsidRDefault="00FA005E" w:rsidP="00FA005E">
      <w:pPr>
        <w:widowControl/>
        <w:shd w:val="clear" w:color="auto" w:fill="FFFFFF"/>
        <w:autoSpaceDE/>
        <w:autoSpaceDN/>
        <w:ind w:left="720" w:right="720"/>
        <w:jc w:val="both"/>
        <w:rPr>
          <w:rFonts w:eastAsia="Times New Roman"/>
          <w:color w:val="000000"/>
          <w:sz w:val="24"/>
          <w:szCs w:val="24"/>
          <w:lang w:bidi="ar-SA"/>
        </w:rPr>
      </w:pPr>
      <w:r w:rsidRPr="00FA005E">
        <w:rPr>
          <w:rFonts w:eastAsia="Times New Roman"/>
          <w:color w:val="000000"/>
          <w:sz w:val="24"/>
          <w:szCs w:val="24"/>
          <w:lang w:bidi="ar-SA"/>
        </w:rPr>
        <w:t>In the following cases every agreement shall be void unless such agreement, or some note or memorandum thereof is in writing, and subscribed by the party to be charged therewith, or by his lawful agent under written authority:</w:t>
      </w:r>
    </w:p>
    <w:p w:rsidR="00030CD0" w:rsidRPr="00A24888" w:rsidRDefault="00030CD0" w:rsidP="00FA005E">
      <w:pPr>
        <w:widowControl/>
        <w:shd w:val="clear" w:color="auto" w:fill="FFFFFF"/>
        <w:autoSpaceDE/>
        <w:autoSpaceDN/>
        <w:ind w:left="720" w:right="720"/>
        <w:jc w:val="both"/>
        <w:rPr>
          <w:rFonts w:eastAsia="Times New Roman"/>
          <w:color w:val="000000"/>
          <w:sz w:val="12"/>
          <w:szCs w:val="12"/>
          <w:lang w:bidi="ar-SA"/>
        </w:rPr>
      </w:pPr>
    </w:p>
    <w:p w:rsidR="00FA005E" w:rsidRDefault="00FA005E" w:rsidP="00030CD0">
      <w:pPr>
        <w:widowControl/>
        <w:shd w:val="clear" w:color="auto" w:fill="FFFFFF"/>
        <w:autoSpaceDE/>
        <w:autoSpaceDN/>
        <w:ind w:left="1440" w:right="720"/>
        <w:jc w:val="both"/>
        <w:rPr>
          <w:rFonts w:eastAsia="Times New Roman"/>
          <w:color w:val="000000"/>
          <w:sz w:val="24"/>
          <w:szCs w:val="24"/>
          <w:lang w:bidi="ar-SA"/>
        </w:rPr>
      </w:pPr>
      <w:r w:rsidRPr="00FA005E">
        <w:rPr>
          <w:rFonts w:eastAsia="Times New Roman"/>
          <w:color w:val="000000"/>
          <w:sz w:val="24"/>
          <w:szCs w:val="24"/>
          <w:lang w:bidi="ar-SA"/>
        </w:rPr>
        <w:t>(1) An agreement that by its terms is not to be performed within one year from the making thereof.</w:t>
      </w:r>
    </w:p>
    <w:p w:rsidR="00030CD0" w:rsidRPr="00A24888" w:rsidRDefault="00030CD0" w:rsidP="00030CD0">
      <w:pPr>
        <w:widowControl/>
        <w:shd w:val="clear" w:color="auto" w:fill="FFFFFF"/>
        <w:autoSpaceDE/>
        <w:autoSpaceDN/>
        <w:ind w:left="1440" w:right="720"/>
        <w:jc w:val="both"/>
        <w:rPr>
          <w:rFonts w:eastAsia="Times New Roman"/>
          <w:color w:val="000000"/>
          <w:sz w:val="12"/>
          <w:szCs w:val="12"/>
          <w:lang w:bidi="ar-SA"/>
        </w:rPr>
      </w:pPr>
    </w:p>
    <w:p w:rsidR="00FA005E" w:rsidRDefault="00FA005E" w:rsidP="00030CD0">
      <w:pPr>
        <w:widowControl/>
        <w:shd w:val="clear" w:color="auto" w:fill="FFFFFF"/>
        <w:autoSpaceDE/>
        <w:autoSpaceDN/>
        <w:ind w:left="1440" w:right="720"/>
        <w:jc w:val="both"/>
        <w:rPr>
          <w:rFonts w:eastAsia="Times New Roman"/>
          <w:color w:val="000000"/>
          <w:sz w:val="24"/>
          <w:szCs w:val="24"/>
          <w:lang w:bidi="ar-SA"/>
        </w:rPr>
      </w:pPr>
      <w:r w:rsidRPr="00FA005E">
        <w:rPr>
          <w:rFonts w:eastAsia="Times New Roman"/>
          <w:color w:val="000000"/>
          <w:sz w:val="24"/>
          <w:szCs w:val="24"/>
          <w:lang w:bidi="ar-SA"/>
        </w:rPr>
        <w:t>(2) A special promise to answer for the debt, default, or misdoings of another person.</w:t>
      </w:r>
    </w:p>
    <w:p w:rsidR="00030CD0" w:rsidRPr="00A24888" w:rsidRDefault="00030CD0" w:rsidP="00030CD0">
      <w:pPr>
        <w:widowControl/>
        <w:shd w:val="clear" w:color="auto" w:fill="FFFFFF"/>
        <w:autoSpaceDE/>
        <w:autoSpaceDN/>
        <w:ind w:left="1440" w:right="720"/>
        <w:jc w:val="both"/>
        <w:rPr>
          <w:rFonts w:eastAsia="Times New Roman"/>
          <w:color w:val="000000"/>
          <w:sz w:val="12"/>
          <w:szCs w:val="12"/>
          <w:lang w:bidi="ar-SA"/>
        </w:rPr>
      </w:pPr>
    </w:p>
    <w:p w:rsidR="00030CD0" w:rsidRDefault="00FA005E" w:rsidP="00FA005E">
      <w:pPr>
        <w:widowControl/>
        <w:shd w:val="clear" w:color="auto" w:fill="FFFFFF"/>
        <w:autoSpaceDE/>
        <w:autoSpaceDN/>
        <w:ind w:left="720" w:right="720"/>
        <w:jc w:val="both"/>
        <w:rPr>
          <w:rFonts w:eastAsia="Times New Roman"/>
          <w:color w:val="000000"/>
          <w:sz w:val="24"/>
          <w:szCs w:val="24"/>
          <w:lang w:bidi="ar-SA"/>
        </w:rPr>
      </w:pPr>
      <w:r w:rsidRPr="00FA005E">
        <w:rPr>
          <w:rFonts w:eastAsia="Times New Roman"/>
          <w:color w:val="000000"/>
          <w:sz w:val="24"/>
          <w:szCs w:val="24"/>
          <w:lang w:bidi="ar-SA"/>
        </w:rPr>
        <w:t xml:space="preserve">Thus, in the Virgin Islands, any agreement to be performed for a period greater than one year is void and unenforceable under the </w:t>
      </w:r>
      <w:r w:rsidRPr="00FA005E">
        <w:rPr>
          <w:rFonts w:eastAsia="Times New Roman"/>
          <w:color w:val="000000"/>
          <w:sz w:val="24"/>
          <w:szCs w:val="24"/>
          <w:shd w:val="clear" w:color="auto" w:fill="FFFFFF"/>
          <w:lang w:bidi="ar-SA"/>
        </w:rPr>
        <w:t>Statute</w:t>
      </w:r>
      <w:r w:rsidRPr="00FA005E">
        <w:rPr>
          <w:rFonts w:eastAsia="Times New Roman"/>
          <w:color w:val="000000"/>
          <w:sz w:val="24"/>
          <w:szCs w:val="24"/>
          <w:lang w:bidi="ar-SA"/>
        </w:rPr>
        <w:t xml:space="preserve"> </w:t>
      </w:r>
      <w:r w:rsidRPr="00FA005E">
        <w:rPr>
          <w:rFonts w:eastAsia="Times New Roman"/>
          <w:color w:val="000000"/>
          <w:sz w:val="24"/>
          <w:szCs w:val="24"/>
          <w:shd w:val="clear" w:color="auto" w:fill="FFFFFF"/>
          <w:lang w:bidi="ar-SA"/>
        </w:rPr>
        <w:t>of</w:t>
      </w:r>
      <w:r w:rsidRPr="00FA005E">
        <w:rPr>
          <w:rFonts w:eastAsia="Times New Roman"/>
          <w:color w:val="000000"/>
          <w:sz w:val="24"/>
          <w:szCs w:val="24"/>
          <w:lang w:bidi="ar-SA"/>
        </w:rPr>
        <w:t xml:space="preserve"> </w:t>
      </w:r>
      <w:r w:rsidRPr="00FA005E">
        <w:rPr>
          <w:rFonts w:eastAsia="Times New Roman"/>
          <w:color w:val="000000"/>
          <w:sz w:val="24"/>
          <w:szCs w:val="24"/>
          <w:shd w:val="clear" w:color="auto" w:fill="FFFFFF"/>
          <w:lang w:bidi="ar-SA"/>
        </w:rPr>
        <w:t>Frauds</w:t>
      </w:r>
      <w:r w:rsidRPr="00FA005E">
        <w:rPr>
          <w:rFonts w:eastAsia="Times New Roman"/>
          <w:color w:val="000000"/>
          <w:sz w:val="24"/>
          <w:szCs w:val="24"/>
          <w:lang w:bidi="ar-SA"/>
        </w:rPr>
        <w:t xml:space="preserve"> unless it is evidenced by a writing to which the party to be charged with the obligation has subscribed. And, an oral agreement regarding an interest in property for a period greater than one year is void and unenforceable under the </w:t>
      </w:r>
      <w:r w:rsidRPr="00FA005E">
        <w:rPr>
          <w:rFonts w:eastAsia="Times New Roman"/>
          <w:color w:val="000000"/>
          <w:sz w:val="24"/>
          <w:szCs w:val="24"/>
          <w:shd w:val="clear" w:color="auto" w:fill="FFFFFF"/>
          <w:lang w:bidi="ar-SA"/>
        </w:rPr>
        <w:t>Statute</w:t>
      </w:r>
      <w:r w:rsidRPr="00FA005E">
        <w:rPr>
          <w:rFonts w:eastAsia="Times New Roman"/>
          <w:color w:val="000000"/>
          <w:sz w:val="24"/>
          <w:szCs w:val="24"/>
          <w:lang w:bidi="ar-SA"/>
        </w:rPr>
        <w:t xml:space="preserve"> </w:t>
      </w:r>
      <w:r w:rsidRPr="00FA005E">
        <w:rPr>
          <w:rFonts w:eastAsia="Times New Roman"/>
          <w:color w:val="000000"/>
          <w:sz w:val="24"/>
          <w:szCs w:val="24"/>
          <w:shd w:val="clear" w:color="auto" w:fill="FFFFFF"/>
          <w:lang w:bidi="ar-SA"/>
        </w:rPr>
        <w:t>of</w:t>
      </w:r>
      <w:r w:rsidRPr="00FA005E">
        <w:rPr>
          <w:rFonts w:eastAsia="Times New Roman"/>
          <w:color w:val="000000"/>
          <w:sz w:val="24"/>
          <w:szCs w:val="24"/>
          <w:lang w:bidi="ar-SA"/>
        </w:rPr>
        <w:t xml:space="preserve"> </w:t>
      </w:r>
      <w:r w:rsidRPr="00FA005E">
        <w:rPr>
          <w:rFonts w:eastAsia="Times New Roman"/>
          <w:color w:val="000000"/>
          <w:sz w:val="24"/>
          <w:szCs w:val="24"/>
          <w:shd w:val="clear" w:color="auto" w:fill="FFFFFF"/>
          <w:lang w:bidi="ar-SA"/>
        </w:rPr>
        <w:t>Frauds</w:t>
      </w:r>
      <w:r w:rsidRPr="00FA005E">
        <w:rPr>
          <w:rFonts w:eastAsia="Times New Roman"/>
          <w:color w:val="000000"/>
          <w:sz w:val="24"/>
          <w:szCs w:val="24"/>
          <w:lang w:bidi="ar-SA"/>
        </w:rPr>
        <w:t xml:space="preserve">. </w:t>
      </w:r>
      <w:r w:rsidRPr="00FA005E">
        <w:rPr>
          <w:rFonts w:eastAsia="Times New Roman"/>
          <w:i/>
          <w:iCs/>
          <w:color w:val="000000"/>
          <w:sz w:val="24"/>
          <w:szCs w:val="24"/>
          <w:lang w:bidi="ar-SA"/>
        </w:rPr>
        <w:t>See</w:t>
      </w:r>
      <w:r w:rsidRPr="00FA005E">
        <w:rPr>
          <w:rFonts w:eastAsia="Times New Roman"/>
          <w:color w:val="000000"/>
          <w:sz w:val="24"/>
          <w:szCs w:val="24"/>
          <w:lang w:bidi="ar-SA"/>
        </w:rPr>
        <w:t xml:space="preserve"> 28 V.I.C. § 244(1). </w:t>
      </w:r>
    </w:p>
    <w:p w:rsidR="00E9282D" w:rsidRDefault="00E9282D" w:rsidP="00FA005E">
      <w:pPr>
        <w:widowControl/>
        <w:shd w:val="clear" w:color="auto" w:fill="FFFFFF"/>
        <w:autoSpaceDE/>
        <w:autoSpaceDN/>
        <w:ind w:left="720" w:right="720"/>
        <w:jc w:val="both"/>
        <w:rPr>
          <w:rFonts w:eastAsia="Times New Roman"/>
          <w:color w:val="000000"/>
          <w:sz w:val="24"/>
          <w:szCs w:val="24"/>
          <w:lang w:bidi="ar-SA"/>
        </w:rPr>
      </w:pPr>
    </w:p>
    <w:p w:rsidR="00E058FE" w:rsidRDefault="00E058FE" w:rsidP="00CC6321">
      <w:pPr>
        <w:widowControl/>
        <w:adjustRightInd w:val="0"/>
        <w:spacing w:line="480" w:lineRule="auto"/>
        <w:jc w:val="both"/>
        <w:rPr>
          <w:b/>
          <w:bCs/>
          <w:sz w:val="24"/>
          <w:szCs w:val="24"/>
        </w:rPr>
      </w:pPr>
      <w:r>
        <w:rPr>
          <w:sz w:val="24"/>
        </w:rPr>
        <w:tab/>
      </w:r>
      <w:r w:rsidR="008D01C8">
        <w:rPr>
          <w:sz w:val="24"/>
        </w:rPr>
        <w:t>Accordingly,</w:t>
      </w:r>
      <w:r w:rsidRPr="00E058FE">
        <w:rPr>
          <w:sz w:val="24"/>
        </w:rPr>
        <w:t xml:space="preserve"> Yusuf's contention that </w:t>
      </w:r>
      <w:r w:rsidRPr="00E058FE">
        <w:rPr>
          <w:rFonts w:eastAsiaTheme="minorHAnsi"/>
          <w:sz w:val="24"/>
          <w:szCs w:val="23"/>
          <w:lang w:bidi="ar-SA"/>
        </w:rPr>
        <w:t>"[a]</w:t>
      </w:r>
      <w:proofErr w:type="spellStart"/>
      <w:r w:rsidRPr="00E058FE">
        <w:rPr>
          <w:rFonts w:eastAsiaTheme="minorHAnsi"/>
          <w:sz w:val="24"/>
          <w:szCs w:val="23"/>
          <w:lang w:bidi="ar-SA"/>
        </w:rPr>
        <w:t>fter</w:t>
      </w:r>
      <w:proofErr w:type="spellEnd"/>
      <w:r w:rsidRPr="00E058FE">
        <w:rPr>
          <w:rFonts w:eastAsiaTheme="minorHAnsi"/>
          <w:sz w:val="24"/>
          <w:szCs w:val="23"/>
          <w:lang w:bidi="ar-SA"/>
        </w:rPr>
        <w:t xml:space="preserve"> May 5, 2004, the proceeds from the sale of United's water </w:t>
      </w:r>
      <w:r w:rsidRPr="00E37FBF">
        <w:rPr>
          <w:rFonts w:eastAsiaTheme="minorHAnsi"/>
          <w:i/>
          <w:sz w:val="24"/>
          <w:szCs w:val="23"/>
          <w:lang w:bidi="ar-SA"/>
        </w:rPr>
        <w:t>were to be paid to United</w:t>
      </w:r>
      <w:r w:rsidRPr="00E058FE">
        <w:rPr>
          <w:rFonts w:eastAsiaTheme="minorHAnsi"/>
          <w:sz w:val="24"/>
          <w:szCs w:val="23"/>
          <w:lang w:bidi="ar-SA"/>
        </w:rPr>
        <w:t xml:space="preserve">, not the Partnership" is nothing more than an attempt </w:t>
      </w:r>
      <w:r w:rsidR="00E37FBF">
        <w:rPr>
          <w:rFonts w:eastAsiaTheme="minorHAnsi"/>
          <w:sz w:val="24"/>
          <w:szCs w:val="23"/>
          <w:lang w:bidi="ar-SA"/>
        </w:rPr>
        <w:t xml:space="preserve">to describe </w:t>
      </w:r>
      <w:r w:rsidRPr="00E058FE">
        <w:rPr>
          <w:rFonts w:eastAsiaTheme="minorHAnsi"/>
          <w:sz w:val="24"/>
          <w:szCs w:val="23"/>
          <w:lang w:bidi="ar-SA"/>
        </w:rPr>
        <w:t xml:space="preserve">an oral </w:t>
      </w:r>
      <w:r w:rsidR="00E37FBF">
        <w:rPr>
          <w:rFonts w:eastAsiaTheme="minorHAnsi"/>
          <w:sz w:val="24"/>
          <w:szCs w:val="23"/>
          <w:lang w:bidi="ar-SA"/>
        </w:rPr>
        <w:t>vendo</w:t>
      </w:r>
      <w:r w:rsidR="00A24888">
        <w:rPr>
          <w:rFonts w:eastAsiaTheme="minorHAnsi"/>
          <w:sz w:val="24"/>
          <w:szCs w:val="23"/>
          <w:lang w:bidi="ar-SA"/>
        </w:rPr>
        <w:t xml:space="preserve">r </w:t>
      </w:r>
      <w:r w:rsidRPr="00E058FE">
        <w:rPr>
          <w:rFonts w:eastAsiaTheme="minorHAnsi"/>
          <w:sz w:val="24"/>
          <w:szCs w:val="23"/>
          <w:lang w:bidi="ar-SA"/>
        </w:rPr>
        <w:t>contract in 2004 that would be enforced in the ensuing years.</w:t>
      </w:r>
    </w:p>
    <w:p w:rsidR="00412E23" w:rsidRDefault="00030CD0" w:rsidP="00A24888">
      <w:pPr>
        <w:pStyle w:val="Heading2"/>
        <w:ind w:left="0"/>
      </w:pPr>
      <w:r>
        <w:t>I</w:t>
      </w:r>
      <w:r w:rsidR="008D01C8">
        <w:t>V</w:t>
      </w:r>
      <w:r>
        <w:t xml:space="preserve">. </w:t>
      </w:r>
      <w:r w:rsidR="008700BE">
        <w:t>Argument</w:t>
      </w:r>
    </w:p>
    <w:p w:rsidR="00412E23" w:rsidRDefault="00412E23">
      <w:pPr>
        <w:pStyle w:val="BodyText"/>
        <w:rPr>
          <w:b/>
        </w:rPr>
      </w:pPr>
    </w:p>
    <w:p w:rsidR="004F3146" w:rsidRPr="004F3146" w:rsidRDefault="004F3146">
      <w:pPr>
        <w:pStyle w:val="BodyText"/>
        <w:spacing w:line="480" w:lineRule="auto"/>
        <w:ind w:left="159" w:right="227" w:firstLine="720"/>
        <w:jc w:val="both"/>
        <w:rPr>
          <w:b/>
        </w:rPr>
      </w:pPr>
      <w:r w:rsidRPr="004F3146">
        <w:rPr>
          <w:b/>
        </w:rPr>
        <w:t>1. SOL</w:t>
      </w:r>
    </w:p>
    <w:p w:rsidR="004F3146" w:rsidRDefault="008700BE" w:rsidP="004F3146">
      <w:pPr>
        <w:pStyle w:val="BodyText"/>
        <w:spacing w:line="480" w:lineRule="auto"/>
        <w:ind w:left="159" w:right="227" w:firstLine="720"/>
        <w:jc w:val="both"/>
      </w:pPr>
      <w:bookmarkStart w:id="5" w:name="_Hlk515017952"/>
      <w:r>
        <w:t xml:space="preserve">Yusuf has admitted that </w:t>
      </w:r>
      <w:r w:rsidR="004F3146">
        <w:t>the first half of his claims</w:t>
      </w:r>
      <w:r w:rsidR="008D01C8">
        <w:t xml:space="preserve"> through</w:t>
      </w:r>
      <w:r w:rsidR="004F3146">
        <w:t xml:space="preserve"> September 17, 2006 occurred </w:t>
      </w:r>
      <w:r>
        <w:t xml:space="preserve">prior to </w:t>
      </w:r>
      <w:r w:rsidR="004F3146">
        <w:t>the limitations period.</w:t>
      </w:r>
      <w:r>
        <w:t xml:space="preserve"> </w:t>
      </w:r>
      <w:r w:rsidR="008D01C8">
        <w:t xml:space="preserve"> “</w:t>
      </w:r>
      <w:r w:rsidR="008D01C8" w:rsidRPr="00CC6321">
        <w:rPr>
          <w:rFonts w:eastAsiaTheme="minorHAnsi"/>
          <w:szCs w:val="23"/>
          <w:lang w:bidi="ar-SA"/>
        </w:rPr>
        <w:t>From April 1, 2004</w:t>
      </w:r>
      <w:r w:rsidR="008D01C8" w:rsidRPr="008D01C8">
        <w:rPr>
          <w:rFonts w:eastAsiaTheme="minorHAnsi"/>
          <w:szCs w:val="23"/>
          <w:lang w:bidi="ar-SA"/>
        </w:rPr>
        <w:t xml:space="preserve">, however, all revenue from the sale of United's water that was collected by Plaza Extra-East </w:t>
      </w:r>
      <w:r w:rsidR="008D01C8" w:rsidRPr="00CC6321">
        <w:rPr>
          <w:rFonts w:eastAsiaTheme="minorHAnsi"/>
          <w:szCs w:val="23"/>
          <w:lang w:bidi="ar-SA"/>
        </w:rPr>
        <w:t>was to be paid to United</w:t>
      </w:r>
      <w:r w:rsidR="008D01C8" w:rsidRPr="008D01C8">
        <w:rPr>
          <w:rFonts w:eastAsiaTheme="minorHAnsi"/>
          <w:szCs w:val="23"/>
          <w:lang w:bidi="ar-SA"/>
        </w:rPr>
        <w:t>.”</w:t>
      </w:r>
      <w:r w:rsidR="004F3146">
        <w:t xml:space="preserve"> </w:t>
      </w:r>
      <w:r w:rsidR="008D01C8">
        <w:rPr>
          <w:color w:val="2C2C2C"/>
        </w:rPr>
        <w:t xml:space="preserve">Page 12 of Yusuf’s October 30, 2016 </w:t>
      </w:r>
      <w:r w:rsidR="008D01C8" w:rsidRPr="002A2E00">
        <w:rPr>
          <w:i/>
          <w:color w:val="2C2C2C"/>
        </w:rPr>
        <w:t>Revised Claims</w:t>
      </w:r>
      <w:r w:rsidR="008D01C8">
        <w:rPr>
          <w:color w:val="2C2C2C"/>
        </w:rPr>
        <w:t>.</w:t>
      </w:r>
      <w:r w:rsidR="008D01C8">
        <w:t xml:space="preserve"> </w:t>
      </w:r>
      <w:r w:rsidR="004F3146">
        <w:t xml:space="preserve">Thus, claims </w:t>
      </w:r>
      <w:r w:rsidR="00A24888">
        <w:t xml:space="preserve">from 2004 to September 17, 2006 </w:t>
      </w:r>
      <w:r w:rsidR="004F3146">
        <w:t>are barred.</w:t>
      </w:r>
    </w:p>
    <w:bookmarkEnd w:id="5"/>
    <w:p w:rsidR="009338B8" w:rsidRDefault="009338B8">
      <w:pPr>
        <w:rPr>
          <w:b/>
          <w:sz w:val="24"/>
          <w:szCs w:val="24"/>
        </w:rPr>
      </w:pPr>
      <w:r>
        <w:rPr>
          <w:b/>
        </w:rPr>
        <w:br w:type="page"/>
      </w:r>
    </w:p>
    <w:p w:rsidR="004F3146" w:rsidRPr="004F3146" w:rsidRDefault="004F3146" w:rsidP="004F3146">
      <w:pPr>
        <w:pStyle w:val="BodyText"/>
        <w:spacing w:line="480" w:lineRule="auto"/>
        <w:ind w:left="159" w:right="227" w:firstLine="720"/>
        <w:jc w:val="both"/>
        <w:rPr>
          <w:b/>
        </w:rPr>
      </w:pPr>
      <w:r w:rsidRPr="004F3146">
        <w:rPr>
          <w:b/>
        </w:rPr>
        <w:lastRenderedPageBreak/>
        <w:t>2. Contract</w:t>
      </w:r>
    </w:p>
    <w:p w:rsidR="004F3146" w:rsidRDefault="004F3146" w:rsidP="004F3146">
      <w:pPr>
        <w:pStyle w:val="BodyText"/>
        <w:spacing w:line="480" w:lineRule="auto"/>
        <w:ind w:left="159" w:right="227" w:firstLine="720"/>
        <w:jc w:val="both"/>
      </w:pPr>
      <w:r>
        <w:t>Yusuf has no written contrac</w:t>
      </w:r>
      <w:r w:rsidR="00E058FE">
        <w:t>t of any date</w:t>
      </w:r>
      <w:r>
        <w:t xml:space="preserve">, </w:t>
      </w:r>
      <w:r w:rsidR="00E058FE">
        <w:t>no post-September 17, 2006 written</w:t>
      </w:r>
      <w:r>
        <w:t xml:space="preserve"> receipts, no written memoranda</w:t>
      </w:r>
      <w:r w:rsidR="00E058FE">
        <w:t xml:space="preserve"> —he has </w:t>
      </w:r>
      <w:r>
        <w:t>nothing that suggests such a contract existed between United and the Partnership.  To the extent that he alleges an oral contract, he admi</w:t>
      </w:r>
      <w:r w:rsidR="000A5A6F">
        <w:t>t</w:t>
      </w:r>
      <w:r>
        <w:t>te</w:t>
      </w:r>
      <w:r w:rsidR="000A5A6F">
        <w:t>d</w:t>
      </w:r>
      <w:r>
        <w:t xml:space="preserve"> that it was formed in 2004 and was to be performed from that time until present</w:t>
      </w:r>
      <w:r w:rsidR="00E058FE">
        <w:t xml:space="preserve"> —</w:t>
      </w:r>
      <w:r>
        <w:t>far more than one year.</w:t>
      </w:r>
      <w:r w:rsidR="000A5A6F">
        <w:t xml:space="preserve">  Thus, his claim is barred by the Statute of Frauds.</w:t>
      </w:r>
    </w:p>
    <w:p w:rsidR="00412E23" w:rsidRPr="000A5A6F" w:rsidRDefault="000A5A6F" w:rsidP="00A24888">
      <w:pPr>
        <w:pStyle w:val="BodyText"/>
        <w:spacing w:line="480" w:lineRule="auto"/>
        <w:ind w:right="230"/>
        <w:jc w:val="both"/>
        <w:rPr>
          <w:b/>
        </w:rPr>
      </w:pPr>
      <w:r w:rsidRPr="000A5A6F">
        <w:rPr>
          <w:b/>
        </w:rPr>
        <w:t xml:space="preserve">V. </w:t>
      </w:r>
      <w:r w:rsidR="008700BE" w:rsidRPr="000A5A6F">
        <w:rPr>
          <w:b/>
        </w:rPr>
        <w:t>Conclusion</w:t>
      </w:r>
    </w:p>
    <w:p w:rsidR="00412E23" w:rsidRDefault="000A5A6F" w:rsidP="000A5A6F">
      <w:pPr>
        <w:pStyle w:val="BodyText"/>
        <w:widowControl/>
        <w:spacing w:line="480" w:lineRule="auto"/>
        <w:jc w:val="both"/>
      </w:pPr>
      <w:r>
        <w:tab/>
        <w:t xml:space="preserve">Even leaving aside the fact that this wasn't </w:t>
      </w:r>
      <w:r w:rsidR="00A24888">
        <w:t xml:space="preserve">even </w:t>
      </w:r>
      <w:r>
        <w:t>United's water, t</w:t>
      </w:r>
      <w:r w:rsidR="008700BE">
        <w:t>here is no claim here</w:t>
      </w:r>
      <w:r w:rsidR="00A24888">
        <w:t xml:space="preserve"> as a matter of law.</w:t>
      </w:r>
      <w:r w:rsidR="008700BE">
        <w:t xml:space="preserve"> There never has been</w:t>
      </w:r>
      <w:r>
        <w:t>. Since this is not a "Partnership Claim</w:t>
      </w:r>
      <w:r w:rsidR="00BD3811">
        <w:t>,</w:t>
      </w:r>
      <w:r>
        <w:t xml:space="preserve">" no "special agreements that benefit Yusuf" like the alleged tax agreements </w:t>
      </w:r>
      <w:r w:rsidR="00925AF5">
        <w:t>are</w:t>
      </w:r>
      <w:r>
        <w:t xml:space="preserve"> at issue.  This is </w:t>
      </w:r>
      <w:r w:rsidR="00925AF5">
        <w:t xml:space="preserve">simply </w:t>
      </w:r>
      <w:r>
        <w:t>an alleged oral contract between a vendor and a grocery store for water.  To the extent that it involves claims before the SOL bar date, it is void as a matter of law</w:t>
      </w:r>
      <w:r w:rsidR="00925AF5">
        <w:t xml:space="preserve"> for that period</w:t>
      </w:r>
      <w:r>
        <w:t xml:space="preserve">.  To the extent that it </w:t>
      </w:r>
      <w:r w:rsidR="00925AF5">
        <w:t>alleges</w:t>
      </w:r>
      <w:r>
        <w:t xml:space="preserve"> a multi-year </w:t>
      </w:r>
      <w:r w:rsidR="00925AF5">
        <w:t>contract</w:t>
      </w:r>
      <w:r>
        <w:t xml:space="preserve"> beginning in 2004, it is </w:t>
      </w:r>
      <w:r w:rsidR="009A57D4">
        <w:t>void under the Statute of Frauds.</w:t>
      </w:r>
      <w:r>
        <w:t xml:space="preserve">  </w:t>
      </w:r>
    </w:p>
    <w:p w:rsidR="00E37FBF" w:rsidRDefault="000B7B06" w:rsidP="000B7B06">
      <w:pPr>
        <w:rPr>
          <w:rFonts w:ascii="CarlHartmann"/>
          <w:color w:val="2E74B5"/>
          <w:w w:val="99"/>
          <w:sz w:val="92"/>
        </w:rPr>
      </w:pPr>
      <w:r>
        <w:rPr>
          <w:b/>
          <w:sz w:val="24"/>
        </w:rPr>
        <w:t xml:space="preserve">Dated: </w:t>
      </w:r>
      <w:r>
        <w:rPr>
          <w:sz w:val="24"/>
        </w:rPr>
        <w:t>May 25, 2018</w:t>
      </w:r>
      <w:bookmarkStart w:id="6" w:name="Carl_J._Hartmann_III,_Esq."/>
      <w:bookmarkEnd w:id="6"/>
      <w:r>
        <w:rPr>
          <w:sz w:val="24"/>
        </w:rPr>
        <w:tab/>
      </w:r>
      <w:r>
        <w:rPr>
          <w:sz w:val="24"/>
        </w:rPr>
        <w:tab/>
      </w:r>
      <w:r>
        <w:rPr>
          <w:sz w:val="24"/>
        </w:rPr>
        <w:tab/>
      </w:r>
      <w:r>
        <w:rPr>
          <w:sz w:val="24"/>
        </w:rPr>
        <w:tab/>
      </w:r>
      <w:r w:rsidR="00925AF5">
        <w:rPr>
          <w:sz w:val="24"/>
        </w:rPr>
        <w:t xml:space="preserve">  </w:t>
      </w:r>
      <w:r w:rsidR="008700BE">
        <w:rPr>
          <w:rFonts w:ascii="CarlHartmann"/>
          <w:color w:val="2E74B5"/>
          <w:w w:val="99"/>
          <w:sz w:val="92"/>
        </w:rPr>
        <w:t>A</w:t>
      </w:r>
      <w:bookmarkStart w:id="7" w:name="Co-Counsel_for_Plaintiff"/>
      <w:bookmarkEnd w:id="7"/>
    </w:p>
    <w:p w:rsidR="00412E23" w:rsidRDefault="008700BE" w:rsidP="00E37FBF">
      <w:pPr>
        <w:pStyle w:val="Heading2"/>
        <w:ind w:left="5200"/>
      </w:pPr>
      <w:r>
        <w:t>Carl J. Hartmann III, Esq.</w:t>
      </w:r>
    </w:p>
    <w:p w:rsidR="00412E23" w:rsidRDefault="008700BE" w:rsidP="00E37FBF">
      <w:pPr>
        <w:ind w:left="5200"/>
        <w:rPr>
          <w:i/>
          <w:sz w:val="24"/>
        </w:rPr>
      </w:pPr>
      <w:r>
        <w:rPr>
          <w:i/>
          <w:sz w:val="24"/>
        </w:rPr>
        <w:t>Co-Counsel for Plaintiff</w:t>
      </w:r>
    </w:p>
    <w:p w:rsidR="00412E23" w:rsidRDefault="008700BE" w:rsidP="00E37FBF">
      <w:pPr>
        <w:pStyle w:val="BodyText"/>
        <w:ind w:left="5200" w:right="1584"/>
      </w:pPr>
      <w:bookmarkStart w:id="8" w:name="5000_Estate_Coakley_Bay,_L6"/>
      <w:bookmarkStart w:id="9" w:name="Christiansted,_Vl_00820"/>
      <w:bookmarkEnd w:id="8"/>
      <w:bookmarkEnd w:id="9"/>
      <w:r>
        <w:t>5000 Estate Coakley Bay, L6</w:t>
      </w:r>
      <w:bookmarkStart w:id="10" w:name="Email:_carl@carlhartmann.com"/>
      <w:bookmarkEnd w:id="10"/>
      <w:r>
        <w:t xml:space="preserve"> Christiansted, </w:t>
      </w:r>
      <w:proofErr w:type="spellStart"/>
      <w:r>
        <w:t>Vl</w:t>
      </w:r>
      <w:proofErr w:type="spellEnd"/>
      <w:r>
        <w:t xml:space="preserve"> 00820</w:t>
      </w:r>
    </w:p>
    <w:p w:rsidR="00412E23" w:rsidRDefault="008700BE" w:rsidP="00E37FBF">
      <w:pPr>
        <w:pStyle w:val="BodyText"/>
        <w:ind w:left="5200" w:right="1395"/>
      </w:pPr>
      <w:bookmarkStart w:id="11" w:name="Tele:_(340)_719-8941"/>
      <w:bookmarkEnd w:id="11"/>
      <w:r>
        <w:t xml:space="preserve">Email: </w:t>
      </w:r>
      <w:hyperlink r:id="rId7">
        <w:r>
          <w:t>carl@carlhartmann.com</w:t>
        </w:r>
      </w:hyperlink>
      <w:r>
        <w:t xml:space="preserve"> Tele: (340) 719-8941</w:t>
      </w:r>
    </w:p>
    <w:p w:rsidR="00412E23" w:rsidRDefault="008700BE" w:rsidP="00E37FBF">
      <w:pPr>
        <w:pStyle w:val="Heading2"/>
        <w:spacing w:before="183"/>
        <w:ind w:left="5200"/>
      </w:pPr>
      <w:bookmarkStart w:id="12" w:name="Joel_H._Holt,_Esq."/>
      <w:bookmarkEnd w:id="12"/>
      <w:r>
        <w:t>Joel H. Holt, Esq.</w:t>
      </w:r>
    </w:p>
    <w:p w:rsidR="00E37FBF" w:rsidRDefault="008700BE" w:rsidP="00E37FBF">
      <w:pPr>
        <w:ind w:left="5200"/>
        <w:rPr>
          <w:i/>
          <w:sz w:val="24"/>
        </w:rPr>
      </w:pPr>
      <w:r>
        <w:rPr>
          <w:i/>
          <w:sz w:val="24"/>
        </w:rPr>
        <w:t>Counsel for Plaintiff</w:t>
      </w:r>
    </w:p>
    <w:p w:rsidR="00E37FBF" w:rsidRDefault="00E37FBF">
      <w:pPr>
        <w:rPr>
          <w:i/>
          <w:sz w:val="24"/>
        </w:rPr>
      </w:pPr>
      <w:r>
        <w:rPr>
          <w:i/>
          <w:sz w:val="24"/>
        </w:rPr>
        <w:br w:type="page"/>
      </w:r>
    </w:p>
    <w:p w:rsidR="00412E23" w:rsidRDefault="00412E23" w:rsidP="00E37FBF">
      <w:pPr>
        <w:ind w:left="5200"/>
        <w:rPr>
          <w:i/>
          <w:sz w:val="24"/>
        </w:rPr>
      </w:pPr>
    </w:p>
    <w:p w:rsidR="00412E23" w:rsidRDefault="00412E23">
      <w:pPr>
        <w:pStyle w:val="BodyText"/>
        <w:rPr>
          <w:sz w:val="20"/>
        </w:rPr>
      </w:pPr>
    </w:p>
    <w:p w:rsidR="00412E23" w:rsidRDefault="00412E23">
      <w:pPr>
        <w:pStyle w:val="BodyText"/>
        <w:rPr>
          <w:sz w:val="28"/>
        </w:rPr>
      </w:pPr>
    </w:p>
    <w:p w:rsidR="00412E23" w:rsidRDefault="008700BE">
      <w:pPr>
        <w:pStyle w:val="Heading2"/>
        <w:spacing w:before="92"/>
        <w:ind w:left="3356"/>
      </w:pPr>
      <w:bookmarkStart w:id="13" w:name="CERTIFICATE_OF_SERVICE"/>
      <w:bookmarkEnd w:id="13"/>
      <w:r>
        <w:t>CERTIFICATE OF SERVICE</w:t>
      </w:r>
    </w:p>
    <w:p w:rsidR="00412E23" w:rsidRDefault="00412E23">
      <w:pPr>
        <w:pStyle w:val="BodyText"/>
        <w:rPr>
          <w:b/>
        </w:rPr>
      </w:pPr>
    </w:p>
    <w:p w:rsidR="00412E23" w:rsidRDefault="008700BE">
      <w:pPr>
        <w:pStyle w:val="BodyText"/>
        <w:ind w:left="160" w:right="195" w:firstLine="720"/>
      </w:pPr>
      <w:r>
        <w:t>I hereby certify that on this 2</w:t>
      </w:r>
      <w:r w:rsidR="000B7B06">
        <w:t>5</w:t>
      </w:r>
      <w:r w:rsidR="00BD3811" w:rsidRPr="00CC6321">
        <w:rPr>
          <w:vertAlign w:val="superscript"/>
        </w:rPr>
        <w:t>th</w:t>
      </w:r>
      <w:r>
        <w:t xml:space="preserve"> day of May, 2018, I served a copy of the foregoing by email (via </w:t>
      </w:r>
      <w:proofErr w:type="spellStart"/>
      <w:r>
        <w:t>CaseAnywhere</w:t>
      </w:r>
      <w:proofErr w:type="spellEnd"/>
      <w:r>
        <w:t>), as agreed by the parties, on:</w:t>
      </w:r>
    </w:p>
    <w:p w:rsidR="00412E23" w:rsidRDefault="00412E23">
      <w:pPr>
        <w:pStyle w:val="BodyText"/>
        <w:rPr>
          <w:sz w:val="20"/>
        </w:rPr>
      </w:pPr>
    </w:p>
    <w:p w:rsidR="00412E23" w:rsidRDefault="00412E23">
      <w:pPr>
        <w:pStyle w:val="BodyText"/>
        <w:rPr>
          <w:sz w:val="20"/>
        </w:rPr>
      </w:pPr>
    </w:p>
    <w:p w:rsidR="00412E23" w:rsidRDefault="00412E23">
      <w:pPr>
        <w:rPr>
          <w:sz w:val="20"/>
        </w:rPr>
        <w:sectPr w:rsidR="00412E23" w:rsidSect="000B7B06">
          <w:headerReference w:type="default" r:id="rId8"/>
          <w:footerReference w:type="default" r:id="rId9"/>
          <w:pgSz w:w="12240" w:h="15840"/>
          <w:pgMar w:top="920" w:right="1060" w:bottom="280" w:left="1280" w:header="738" w:footer="576" w:gutter="0"/>
          <w:cols w:space="720"/>
          <w:titlePg/>
          <w:docGrid w:linePitch="299"/>
        </w:sectPr>
      </w:pPr>
    </w:p>
    <w:p w:rsidR="00412E23" w:rsidRDefault="008700BE">
      <w:pPr>
        <w:spacing w:before="92"/>
        <w:ind w:left="160" w:right="36"/>
        <w:rPr>
          <w:sz w:val="24"/>
        </w:rPr>
      </w:pPr>
      <w:bookmarkStart w:id="14" w:name="Hon._Edgar_Ross_(w/_2_Mailed_Copies)"/>
      <w:bookmarkEnd w:id="14"/>
      <w:r>
        <w:rPr>
          <w:b/>
          <w:sz w:val="24"/>
        </w:rPr>
        <w:t xml:space="preserve">Hon. Edgar Ross </w:t>
      </w:r>
      <w:r>
        <w:rPr>
          <w:sz w:val="24"/>
        </w:rPr>
        <w:t>(w/ 2 Mailed Copies)</w:t>
      </w:r>
      <w:bookmarkStart w:id="15" w:name="Special_Master"/>
      <w:bookmarkEnd w:id="15"/>
      <w:r>
        <w:rPr>
          <w:sz w:val="24"/>
        </w:rPr>
        <w:t xml:space="preserve"> Special Master</w:t>
      </w:r>
    </w:p>
    <w:p w:rsidR="00412E23" w:rsidRDefault="00412E23">
      <w:pPr>
        <w:pStyle w:val="BodyText"/>
      </w:pPr>
    </w:p>
    <w:p w:rsidR="00412E23" w:rsidRDefault="00D1280B">
      <w:pPr>
        <w:pStyle w:val="BodyText"/>
        <w:ind w:left="160"/>
      </w:pPr>
      <w:hyperlink r:id="rId10">
        <w:r w:rsidR="008700BE">
          <w:t>edgarrossjudge@hotmail.com</w:t>
        </w:r>
      </w:hyperlink>
    </w:p>
    <w:p w:rsidR="00412E23" w:rsidRDefault="00412E23">
      <w:pPr>
        <w:pStyle w:val="BodyText"/>
      </w:pPr>
    </w:p>
    <w:p w:rsidR="00412E23" w:rsidRDefault="008700BE">
      <w:pPr>
        <w:pStyle w:val="Heading2"/>
        <w:ind w:right="2036"/>
      </w:pPr>
      <w:bookmarkStart w:id="16" w:name="Gregory_H._Hodges"/>
      <w:bookmarkEnd w:id="16"/>
      <w:r>
        <w:rPr>
          <w:color w:val="1B1B1B"/>
        </w:rPr>
        <w:t>Gregory H. Hodges</w:t>
      </w:r>
      <w:bookmarkStart w:id="17" w:name="Stefan_Herpel"/>
      <w:bookmarkStart w:id="18" w:name="Charlotte_Perrell"/>
      <w:bookmarkEnd w:id="17"/>
      <w:bookmarkEnd w:id="18"/>
      <w:r>
        <w:rPr>
          <w:color w:val="1B1B1B"/>
        </w:rPr>
        <w:t xml:space="preserve"> Stefan Herpel</w:t>
      </w:r>
      <w:bookmarkStart w:id="19" w:name="Law_House,_10000_Frederiksberg_Gade"/>
      <w:bookmarkEnd w:id="19"/>
      <w:r>
        <w:rPr>
          <w:color w:val="1B1B1B"/>
        </w:rPr>
        <w:t xml:space="preserve"> Charlotte Perrell</w:t>
      </w:r>
    </w:p>
    <w:p w:rsidR="00412E23" w:rsidRDefault="008700BE">
      <w:pPr>
        <w:pStyle w:val="BodyText"/>
        <w:ind w:left="160"/>
      </w:pPr>
      <w:r>
        <w:rPr>
          <w:color w:val="1B1B1B"/>
        </w:rPr>
        <w:t xml:space="preserve">Law House, 10000 Frederiksberg </w:t>
      </w:r>
      <w:proofErr w:type="spellStart"/>
      <w:r>
        <w:rPr>
          <w:color w:val="1B1B1B"/>
        </w:rPr>
        <w:t>Gade</w:t>
      </w:r>
      <w:proofErr w:type="spellEnd"/>
    </w:p>
    <w:p w:rsidR="00412E23" w:rsidRDefault="008700BE">
      <w:pPr>
        <w:pStyle w:val="BodyText"/>
        <w:ind w:left="160"/>
      </w:pPr>
      <w:r>
        <w:rPr>
          <w:color w:val="1B1B1B"/>
        </w:rPr>
        <w:t>P.O. Box 756</w:t>
      </w:r>
    </w:p>
    <w:p w:rsidR="00412E23" w:rsidRDefault="008700BE">
      <w:pPr>
        <w:pStyle w:val="BodyText"/>
        <w:ind w:left="160" w:right="1902"/>
      </w:pPr>
      <w:r>
        <w:rPr>
          <w:color w:val="1B1B1B"/>
        </w:rPr>
        <w:t xml:space="preserve">St. Thomas, VI 00802 </w:t>
      </w:r>
      <w:hyperlink r:id="rId11">
        <w:r>
          <w:rPr>
            <w:color w:val="1B1B1B"/>
          </w:rPr>
          <w:t>ghodges@dtflaw.com</w:t>
        </w:r>
      </w:hyperlink>
    </w:p>
    <w:p w:rsidR="00412E23" w:rsidRDefault="008700BE">
      <w:pPr>
        <w:spacing w:before="92"/>
        <w:ind w:left="160" w:right="2532"/>
        <w:rPr>
          <w:sz w:val="24"/>
        </w:rPr>
      </w:pPr>
      <w:r>
        <w:br w:type="column"/>
      </w:r>
      <w:r>
        <w:rPr>
          <w:b/>
          <w:sz w:val="24"/>
        </w:rPr>
        <w:t>Mark W. Eckard</w:t>
      </w:r>
      <w:bookmarkStart w:id="20" w:name="Hamm,_Eckard,_LLP"/>
      <w:bookmarkEnd w:id="20"/>
      <w:r>
        <w:rPr>
          <w:b/>
          <w:sz w:val="24"/>
        </w:rPr>
        <w:t xml:space="preserve"> </w:t>
      </w:r>
      <w:r>
        <w:rPr>
          <w:sz w:val="24"/>
        </w:rPr>
        <w:t>Hamm, Eckard, LLP 5030 Anchor Way</w:t>
      </w:r>
    </w:p>
    <w:p w:rsidR="00412E23" w:rsidRDefault="008700BE">
      <w:pPr>
        <w:pStyle w:val="BodyText"/>
        <w:ind w:left="160" w:right="2129"/>
      </w:pPr>
      <w:r>
        <w:t xml:space="preserve">Christiansted, VI 00820 </w:t>
      </w:r>
      <w:hyperlink r:id="rId12">
        <w:r>
          <w:t>mark@markeckard.com</w:t>
        </w:r>
      </w:hyperlink>
    </w:p>
    <w:p w:rsidR="00412E23" w:rsidRDefault="00412E23">
      <w:pPr>
        <w:pStyle w:val="BodyText"/>
      </w:pPr>
    </w:p>
    <w:p w:rsidR="00412E23" w:rsidRDefault="008700BE">
      <w:pPr>
        <w:pStyle w:val="Heading2"/>
      </w:pPr>
      <w:bookmarkStart w:id="21" w:name="Jeffrey_B._C._Moorhead"/>
      <w:bookmarkStart w:id="22" w:name="CRT_Brow_Building"/>
      <w:bookmarkEnd w:id="21"/>
      <w:bookmarkEnd w:id="22"/>
      <w:r>
        <w:t>Jeffrey B. C. Moorhead</w:t>
      </w:r>
    </w:p>
    <w:p w:rsidR="00412E23" w:rsidRDefault="008700BE">
      <w:pPr>
        <w:pStyle w:val="BodyText"/>
        <w:ind w:left="160"/>
      </w:pPr>
      <w:r>
        <w:t>CRT Brow Building</w:t>
      </w:r>
    </w:p>
    <w:p w:rsidR="00412E23" w:rsidRDefault="008700BE">
      <w:pPr>
        <w:pStyle w:val="BodyText"/>
        <w:ind w:left="160"/>
      </w:pPr>
      <w:r>
        <w:t>1132 King Street, Suite 3</w:t>
      </w:r>
    </w:p>
    <w:p w:rsidR="00412E23" w:rsidRDefault="008700BE">
      <w:pPr>
        <w:pStyle w:val="BodyText"/>
        <w:ind w:left="160" w:right="2048"/>
      </w:pPr>
      <w:r>
        <w:t xml:space="preserve">Christiansted, VI 00820 </w:t>
      </w:r>
      <w:hyperlink r:id="rId13">
        <w:r>
          <w:t>jeffreymlaw@yahoo.com</w:t>
        </w:r>
      </w:hyperlink>
    </w:p>
    <w:p w:rsidR="00412E23" w:rsidRDefault="00412E23">
      <w:pPr>
        <w:pStyle w:val="BodyText"/>
        <w:spacing w:before="10"/>
        <w:rPr>
          <w:sz w:val="23"/>
        </w:rPr>
      </w:pPr>
    </w:p>
    <w:p w:rsidR="00412E23" w:rsidRDefault="008700BE">
      <w:pPr>
        <w:pStyle w:val="Heading1"/>
        <w:spacing w:before="1"/>
      </w:pPr>
      <w:r>
        <w:rPr>
          <w:color w:val="2E74B5"/>
        </w:rPr>
        <w:t>A</w:t>
      </w:r>
    </w:p>
    <w:p w:rsidR="00412E23" w:rsidRDefault="00412E23">
      <w:pPr>
        <w:sectPr w:rsidR="00412E23">
          <w:type w:val="continuous"/>
          <w:pgSz w:w="12240" w:h="15840"/>
          <w:pgMar w:top="300" w:right="1060" w:bottom="280" w:left="1280" w:header="720" w:footer="720" w:gutter="0"/>
          <w:cols w:num="2" w:space="720" w:equalWidth="0">
            <w:col w:w="4404" w:space="636"/>
            <w:col w:w="4860"/>
          </w:cols>
        </w:sectPr>
      </w:pPr>
    </w:p>
    <w:p w:rsidR="00412E23" w:rsidRDefault="00412E23">
      <w:pPr>
        <w:pStyle w:val="BodyText"/>
        <w:spacing w:before="1"/>
        <w:rPr>
          <w:rFonts w:ascii="CarlHartmann"/>
          <w:sz w:val="16"/>
        </w:rPr>
      </w:pPr>
    </w:p>
    <w:p w:rsidR="00412E23" w:rsidRDefault="008700BE">
      <w:pPr>
        <w:pStyle w:val="Heading2"/>
        <w:spacing w:before="92"/>
        <w:ind w:left="1952"/>
      </w:pPr>
      <w:r>
        <w:t>CERTIFICATE OF COMPLIANCE WITH RULE 6-1(e)</w:t>
      </w:r>
    </w:p>
    <w:p w:rsidR="00412E23" w:rsidRDefault="00412E23">
      <w:pPr>
        <w:pStyle w:val="BodyText"/>
        <w:rPr>
          <w:b/>
        </w:rPr>
      </w:pPr>
    </w:p>
    <w:p w:rsidR="00412E23" w:rsidRDefault="008700BE">
      <w:pPr>
        <w:pStyle w:val="BodyText"/>
        <w:spacing w:line="275" w:lineRule="exact"/>
        <w:ind w:left="160"/>
      </w:pPr>
      <w:bookmarkStart w:id="23" w:name="A"/>
      <w:bookmarkEnd w:id="23"/>
      <w:r>
        <w:t>This document complies with the page or word limitation set forth in Rule 6-1(e).</w:t>
      </w:r>
    </w:p>
    <w:p w:rsidR="00412E23" w:rsidRDefault="008700BE">
      <w:pPr>
        <w:pStyle w:val="Heading1"/>
        <w:spacing w:line="827" w:lineRule="exact"/>
        <w:ind w:left="5200"/>
      </w:pPr>
      <w:r>
        <w:rPr>
          <w:color w:val="2E74B5"/>
        </w:rPr>
        <w:t>A</w:t>
      </w:r>
    </w:p>
    <w:sectPr w:rsidR="00412E23">
      <w:type w:val="continuous"/>
      <w:pgSz w:w="12240" w:h="15840"/>
      <w:pgMar w:top="300" w:right="10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0B" w:rsidRDefault="00D1280B">
      <w:r>
        <w:separator/>
      </w:r>
    </w:p>
  </w:endnote>
  <w:endnote w:type="continuationSeparator" w:id="0">
    <w:p w:rsidR="00D1280B" w:rsidRDefault="00D1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Hartmann">
    <w:altName w:val="CarlHartmann"/>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D4" w:rsidRDefault="009A57D4" w:rsidP="008A38E0">
    <w:pPr>
      <w:pStyle w:val="Footer"/>
      <w:jc w:val="center"/>
      <w:rPr>
        <w:b/>
      </w:rPr>
    </w:pPr>
  </w:p>
  <w:p w:rsidR="008A38E0" w:rsidRPr="008A38E0" w:rsidRDefault="008A38E0" w:rsidP="008A38E0">
    <w:pPr>
      <w:pStyle w:val="Footer"/>
      <w:jc w:val="center"/>
      <w:rPr>
        <w:b/>
      </w:rPr>
    </w:pPr>
    <w:r w:rsidRPr="008A38E0">
      <w:rPr>
        <w:b/>
      </w:rPr>
      <w:t xml:space="preserve">Page </w:t>
    </w:r>
    <w:r w:rsidRPr="008A38E0">
      <w:rPr>
        <w:b/>
      </w:rPr>
      <w:fldChar w:fldCharType="begin"/>
    </w:r>
    <w:r w:rsidRPr="008A38E0">
      <w:rPr>
        <w:b/>
      </w:rPr>
      <w:instrText xml:space="preserve"> PAGE   \* MERGEFORMAT </w:instrText>
    </w:r>
    <w:r w:rsidRPr="008A38E0">
      <w:rPr>
        <w:b/>
      </w:rPr>
      <w:fldChar w:fldCharType="separate"/>
    </w:r>
    <w:r w:rsidRPr="008A38E0">
      <w:rPr>
        <w:b/>
        <w:noProof/>
      </w:rPr>
      <w:t>1</w:t>
    </w:r>
    <w:r w:rsidRPr="008A38E0">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0B" w:rsidRDefault="00D1280B">
      <w:r>
        <w:separator/>
      </w:r>
    </w:p>
  </w:footnote>
  <w:footnote w:type="continuationSeparator" w:id="0">
    <w:p w:rsidR="00D1280B" w:rsidRDefault="00D1280B">
      <w:r>
        <w:continuationSeparator/>
      </w:r>
    </w:p>
  </w:footnote>
  <w:footnote w:id="1">
    <w:p w:rsidR="006F5157" w:rsidRPr="006F5157" w:rsidRDefault="006230E6" w:rsidP="006F5157">
      <w:pPr>
        <w:pStyle w:val="FootnoteText"/>
        <w:widowControl/>
        <w:jc w:val="both"/>
        <w:rPr>
          <w:sz w:val="24"/>
        </w:rPr>
      </w:pPr>
      <w:r>
        <w:rPr>
          <w:rStyle w:val="FootnoteReference"/>
        </w:rPr>
        <w:footnoteRef/>
      </w:r>
      <w:r w:rsidRPr="006F5157">
        <w:rPr>
          <w:sz w:val="24"/>
        </w:rPr>
        <w:t xml:space="preserve"> Interrogatory 2 of 50 is set f</w:t>
      </w:r>
      <w:r w:rsidR="006F5157" w:rsidRPr="006F5157">
        <w:rPr>
          <w:sz w:val="24"/>
        </w:rPr>
        <w:t xml:space="preserve">orth </w:t>
      </w:r>
      <w:r w:rsidR="006F5157" w:rsidRPr="0069655E">
        <w:rPr>
          <w:i/>
          <w:sz w:val="24"/>
          <w:u w:val="single"/>
        </w:rPr>
        <w:t>in toto</w:t>
      </w:r>
      <w:r w:rsidR="006F5157" w:rsidRPr="006F5157">
        <w:rPr>
          <w:sz w:val="24"/>
        </w:rPr>
        <w:t xml:space="preserve"> just below.  As to documents, it require</w:t>
      </w:r>
      <w:r w:rsidR="008A38E0">
        <w:rPr>
          <w:sz w:val="24"/>
        </w:rPr>
        <w:t>d</w:t>
      </w:r>
      <w:r w:rsidR="006F5157" w:rsidRPr="006F5157">
        <w:rPr>
          <w:sz w:val="24"/>
        </w:rPr>
        <w:t xml:space="preserve"> United</w:t>
      </w:r>
      <w:r w:rsidR="007A6F36">
        <w:rPr>
          <w:sz w:val="24"/>
        </w:rPr>
        <w:t xml:space="preserve"> to:</w:t>
      </w:r>
    </w:p>
    <w:p w:rsidR="006F5157" w:rsidRPr="00B13664" w:rsidRDefault="006F5157" w:rsidP="006F5157">
      <w:pPr>
        <w:pStyle w:val="FootnoteText"/>
        <w:widowControl/>
        <w:jc w:val="both"/>
        <w:rPr>
          <w:rFonts w:eastAsiaTheme="minorHAnsi"/>
          <w:sz w:val="8"/>
          <w:szCs w:val="8"/>
          <w:lang w:bidi="ar-SA"/>
        </w:rPr>
      </w:pPr>
    </w:p>
    <w:p w:rsidR="006230E6" w:rsidRDefault="006F5157" w:rsidP="006F5157">
      <w:pPr>
        <w:pStyle w:val="FootnoteText"/>
        <w:widowControl/>
        <w:ind w:left="720" w:right="720"/>
        <w:jc w:val="both"/>
        <w:rPr>
          <w:rFonts w:eastAsiaTheme="minorHAnsi"/>
          <w:sz w:val="24"/>
          <w:szCs w:val="23"/>
          <w:lang w:bidi="ar-SA"/>
        </w:rPr>
      </w:pPr>
      <w:r w:rsidRPr="006F5157">
        <w:rPr>
          <w:rFonts w:eastAsiaTheme="minorHAnsi"/>
          <w:sz w:val="24"/>
          <w:szCs w:val="23"/>
          <w:lang w:bidi="ar-SA"/>
        </w:rPr>
        <w:t xml:space="preserve">describe </w:t>
      </w:r>
      <w:r w:rsidRPr="007A6F36">
        <w:rPr>
          <w:rFonts w:eastAsiaTheme="minorHAnsi"/>
          <w:i/>
          <w:sz w:val="24"/>
          <w:szCs w:val="23"/>
          <w:u w:val="single"/>
          <w:lang w:bidi="ar-SA"/>
        </w:rPr>
        <w:t>any</w:t>
      </w:r>
      <w:r w:rsidRPr="006F5157">
        <w:rPr>
          <w:rFonts w:eastAsiaTheme="minorHAnsi"/>
          <w:sz w:val="24"/>
          <w:szCs w:val="23"/>
          <w:lang w:bidi="ar-SA"/>
        </w:rPr>
        <w:t xml:space="preserve"> ledgers, shipping invoices, receipts </w:t>
      </w:r>
      <w:r w:rsidRPr="00B13664">
        <w:rPr>
          <w:rFonts w:eastAsiaTheme="minorHAnsi"/>
          <w:i/>
          <w:sz w:val="24"/>
          <w:szCs w:val="23"/>
          <w:u w:val="single"/>
          <w:lang w:bidi="ar-SA"/>
        </w:rPr>
        <w:t>or other documents</w:t>
      </w:r>
      <w:r w:rsidRPr="006F5157">
        <w:rPr>
          <w:rFonts w:eastAsiaTheme="minorHAnsi"/>
          <w:sz w:val="24"/>
          <w:szCs w:val="23"/>
          <w:lang w:bidi="ar-SA"/>
        </w:rPr>
        <w:t xml:space="preserve"> which support your </w:t>
      </w:r>
      <w:r>
        <w:rPr>
          <w:rFonts w:eastAsiaTheme="minorHAnsi"/>
          <w:sz w:val="24"/>
          <w:szCs w:val="23"/>
          <w:lang w:bidi="ar-SA"/>
        </w:rPr>
        <w:t>c</w:t>
      </w:r>
      <w:r w:rsidRPr="006F5157">
        <w:rPr>
          <w:rFonts w:eastAsiaTheme="minorHAnsi"/>
          <w:sz w:val="24"/>
          <w:szCs w:val="23"/>
          <w:lang w:bidi="ar-SA"/>
        </w:rPr>
        <w:t>laim as well as any witnesses who would have knowledge and what knowledge you believe they have.</w:t>
      </w:r>
      <w:r w:rsidR="00B13664">
        <w:rPr>
          <w:rFonts w:eastAsiaTheme="minorHAnsi"/>
          <w:sz w:val="24"/>
          <w:szCs w:val="23"/>
          <w:lang w:bidi="ar-SA"/>
        </w:rPr>
        <w:t xml:space="preserve"> (Emphasis added.)</w:t>
      </w:r>
    </w:p>
    <w:p w:rsidR="004F39F9" w:rsidRPr="00B13664" w:rsidRDefault="004F39F9" w:rsidP="006F5157">
      <w:pPr>
        <w:pStyle w:val="FootnoteText"/>
        <w:widowControl/>
        <w:ind w:left="720" w:right="720"/>
        <w:jc w:val="both"/>
        <w:rPr>
          <w:sz w:val="8"/>
          <w:szCs w:val="8"/>
        </w:rPr>
      </w:pPr>
    </w:p>
  </w:footnote>
  <w:footnote w:id="2">
    <w:p w:rsidR="007A6F36" w:rsidRDefault="007A6F36" w:rsidP="009338B8">
      <w:pPr>
        <w:pStyle w:val="FootnoteText"/>
        <w:widowControl/>
        <w:jc w:val="both"/>
        <w:rPr>
          <w:sz w:val="24"/>
        </w:rPr>
      </w:pPr>
      <w:r>
        <w:rPr>
          <w:rStyle w:val="FootnoteReference"/>
        </w:rPr>
        <w:footnoteRef/>
      </w:r>
      <w:r w:rsidRPr="009338B8">
        <w:rPr>
          <w:sz w:val="24"/>
        </w:rPr>
        <w:t xml:space="preserve"> No underlying documents are supplied for </w:t>
      </w:r>
      <w:r w:rsidR="004627D4" w:rsidRPr="009338B8">
        <w:rPr>
          <w:sz w:val="24"/>
        </w:rPr>
        <w:t>p</w:t>
      </w:r>
      <w:r w:rsidRPr="009338B8">
        <w:rPr>
          <w:sz w:val="24"/>
        </w:rPr>
        <w:t>ost-September 17, 2006 sales or agreements</w:t>
      </w:r>
      <w:r w:rsidR="00616941" w:rsidRPr="009338B8">
        <w:rPr>
          <w:sz w:val="24"/>
        </w:rPr>
        <w:t xml:space="preserve"> —</w:t>
      </w:r>
      <w:r w:rsidRPr="009338B8">
        <w:rPr>
          <w:sz w:val="24"/>
        </w:rPr>
        <w:t xml:space="preserve">this is simply </w:t>
      </w:r>
      <w:proofErr w:type="spellStart"/>
      <w:r w:rsidRPr="009338B8">
        <w:rPr>
          <w:sz w:val="24"/>
        </w:rPr>
        <w:t>BDO's</w:t>
      </w:r>
      <w:proofErr w:type="spellEnd"/>
      <w:r w:rsidRPr="009338B8">
        <w:rPr>
          <w:sz w:val="24"/>
        </w:rPr>
        <w:t xml:space="preserve"> </w:t>
      </w:r>
      <w:r w:rsidR="009338B8" w:rsidRPr="009338B8">
        <w:rPr>
          <w:sz w:val="24"/>
        </w:rPr>
        <w:t xml:space="preserve">regurgitation of "what Fathi told us" and </w:t>
      </w:r>
      <w:r w:rsidRPr="009338B8">
        <w:rPr>
          <w:sz w:val="24"/>
        </w:rPr>
        <w:t xml:space="preserve">pre-2006 information </w:t>
      </w:r>
      <w:r w:rsidR="005E17DC" w:rsidRPr="009338B8">
        <w:rPr>
          <w:sz w:val="24"/>
        </w:rPr>
        <w:t xml:space="preserve">from way </w:t>
      </w:r>
      <w:r w:rsidRPr="009338B8">
        <w:rPr>
          <w:sz w:val="24"/>
        </w:rPr>
        <w:t xml:space="preserve">back in the </w:t>
      </w:r>
      <w:proofErr w:type="spellStart"/>
      <w:r w:rsidR="009338B8" w:rsidRPr="009338B8">
        <w:rPr>
          <w:sz w:val="24"/>
        </w:rPr>
        <w:t>19</w:t>
      </w:r>
      <w:r w:rsidRPr="009338B8">
        <w:rPr>
          <w:sz w:val="24"/>
        </w:rPr>
        <w:t>90's</w:t>
      </w:r>
      <w:proofErr w:type="spellEnd"/>
      <w:r w:rsidR="009338B8" w:rsidRPr="009338B8">
        <w:rPr>
          <w:sz w:val="24"/>
        </w:rPr>
        <w:t xml:space="preserve">, when </w:t>
      </w:r>
      <w:proofErr w:type="spellStart"/>
      <w:r w:rsidR="009338B8" w:rsidRPr="009338B8">
        <w:rPr>
          <w:sz w:val="24"/>
        </w:rPr>
        <w:t>evewn</w:t>
      </w:r>
      <w:proofErr w:type="spellEnd"/>
      <w:r w:rsidR="009338B8" w:rsidRPr="009338B8">
        <w:rPr>
          <w:sz w:val="24"/>
        </w:rPr>
        <w:t xml:space="preserve"> Yusuf admits the agreement was to give the funds to charity.</w:t>
      </w:r>
    </w:p>
    <w:p w:rsidR="00B13664" w:rsidRPr="00B13664" w:rsidRDefault="00B13664" w:rsidP="007A6F36">
      <w:pPr>
        <w:pStyle w:val="FootnoteText"/>
        <w:widowControl/>
        <w:jc w:val="both"/>
        <w:rPr>
          <w:sz w:val="8"/>
          <w:szCs w:val="8"/>
        </w:rPr>
      </w:pPr>
    </w:p>
  </w:footnote>
  <w:footnote w:id="3">
    <w:p w:rsidR="004F39F9" w:rsidRDefault="004F39F9" w:rsidP="004F39F9">
      <w:pPr>
        <w:pStyle w:val="FootnoteText"/>
        <w:widowControl/>
        <w:jc w:val="both"/>
      </w:pPr>
      <w:r>
        <w:rPr>
          <w:rStyle w:val="FootnoteReference"/>
        </w:rPr>
        <w:footnoteRef/>
      </w:r>
      <w:r>
        <w:t xml:space="preserve"> </w:t>
      </w:r>
      <w:r w:rsidRPr="004F39F9">
        <w:rPr>
          <w:sz w:val="24"/>
        </w:rPr>
        <w:t>Although the facts are not at issue here, it is interesting to note that the calculations are based on sales before the SOL. None are based in the actual years after the SOL, and no documents are provided to demonstrate anything from September 17, 2006 forward.</w:t>
      </w:r>
    </w:p>
  </w:footnote>
  <w:footnote w:id="4">
    <w:p w:rsidR="00BA040C" w:rsidRDefault="00BA040C" w:rsidP="00E82908">
      <w:pPr>
        <w:widowControl/>
        <w:shd w:val="clear" w:color="auto" w:fill="FFFFFF"/>
        <w:jc w:val="both"/>
        <w:rPr>
          <w:rFonts w:eastAsia="Times New Roman"/>
          <w:color w:val="000000"/>
          <w:sz w:val="24"/>
          <w:szCs w:val="24"/>
          <w:lang w:bidi="ar-SA"/>
        </w:rPr>
      </w:pPr>
      <w:r>
        <w:rPr>
          <w:rStyle w:val="FootnoteReference"/>
        </w:rPr>
        <w:footnoteRef/>
      </w:r>
      <w:r>
        <w:t xml:space="preserve"> </w:t>
      </w:r>
      <w:r w:rsidR="00E82908" w:rsidRPr="00BA040C">
        <w:rPr>
          <w:rFonts w:eastAsia="Times New Roman"/>
          <w:sz w:val="24"/>
          <w:szCs w:val="24"/>
          <w:lang w:bidi="ar-SA"/>
        </w:rPr>
        <w:t xml:space="preserve">§31 </w:t>
      </w:r>
      <w:r w:rsidR="00E82908" w:rsidRPr="00BA040C">
        <w:rPr>
          <w:rFonts w:eastAsia="Times New Roman"/>
          <w:i/>
          <w:sz w:val="24"/>
          <w:szCs w:val="24"/>
          <w:lang w:bidi="ar-SA"/>
        </w:rPr>
        <w:t>Time for commencement of various actions</w:t>
      </w:r>
      <w:r w:rsidR="006544B6">
        <w:rPr>
          <w:rFonts w:eastAsia="Times New Roman"/>
          <w:sz w:val="24"/>
          <w:szCs w:val="24"/>
          <w:lang w:bidi="ar-SA"/>
        </w:rPr>
        <w:t xml:space="preserve">. That section states: </w:t>
      </w:r>
      <w:r w:rsidRPr="00E82908">
        <w:rPr>
          <w:rFonts w:eastAsia="Times New Roman"/>
          <w:sz w:val="24"/>
          <w:szCs w:val="24"/>
          <w:lang w:bidi="ar-SA"/>
        </w:rPr>
        <w:t xml:space="preserve">(3) Six years </w:t>
      </w:r>
      <w:r w:rsidRPr="00BA040C">
        <w:rPr>
          <w:rFonts w:eastAsia="Times New Roman"/>
          <w:sz w:val="24"/>
          <w:szCs w:val="24"/>
          <w:lang w:bidi="ar-SA"/>
        </w:rPr>
        <w:t>(A) An action upon a contract or liability, express or implied, excepting those mentioned in paragraph (1)(C) of this section.</w:t>
      </w:r>
      <w:r w:rsidR="00E82908" w:rsidRPr="00E82908">
        <w:rPr>
          <w:rFonts w:eastAsia="Times New Roman"/>
          <w:sz w:val="24"/>
          <w:szCs w:val="24"/>
          <w:lang w:bidi="ar-SA"/>
        </w:rPr>
        <w:t>"</w:t>
      </w:r>
    </w:p>
    <w:p w:rsidR="00E82908" w:rsidRPr="00BA040C" w:rsidRDefault="00E82908" w:rsidP="00E82908">
      <w:pPr>
        <w:shd w:val="clear" w:color="auto" w:fill="FFFFFF"/>
        <w:rPr>
          <w:rFonts w:eastAsia="Times New Roman"/>
          <w:color w:val="000000"/>
          <w:sz w:val="12"/>
          <w:szCs w:val="12"/>
          <w:lang w:bidi="ar-SA"/>
        </w:rPr>
      </w:pPr>
    </w:p>
    <w:p w:rsidR="00BA040C" w:rsidRDefault="00BA040C" w:rsidP="00E82908">
      <w:pPr>
        <w:widowControl/>
        <w:shd w:val="clear" w:color="auto" w:fill="FFFFFF"/>
        <w:autoSpaceDE/>
        <w:autoSpaceDN/>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E23" w:rsidRDefault="00412E2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876C1"/>
    <w:multiLevelType w:val="hybridMultilevel"/>
    <w:tmpl w:val="21D8C7E6"/>
    <w:lvl w:ilvl="0" w:tplc="488CA53A">
      <w:start w:val="1"/>
      <w:numFmt w:val="upperLetter"/>
      <w:lvlText w:val="%1."/>
      <w:lvlJc w:val="left"/>
      <w:pPr>
        <w:ind w:left="1187" w:hanging="308"/>
        <w:jc w:val="left"/>
      </w:pPr>
      <w:rPr>
        <w:rFonts w:hint="default"/>
        <w:b/>
        <w:bCs/>
        <w:i/>
        <w:spacing w:val="-1"/>
        <w:w w:val="99"/>
        <w:lang w:val="en-US" w:eastAsia="en-US" w:bidi="en-US"/>
      </w:rPr>
    </w:lvl>
    <w:lvl w:ilvl="1" w:tplc="379CCF1C">
      <w:numFmt w:val="bullet"/>
      <w:lvlText w:val="•"/>
      <w:lvlJc w:val="left"/>
      <w:pPr>
        <w:ind w:left="2052" w:hanging="308"/>
      </w:pPr>
      <w:rPr>
        <w:rFonts w:hint="default"/>
        <w:lang w:val="en-US" w:eastAsia="en-US" w:bidi="en-US"/>
      </w:rPr>
    </w:lvl>
    <w:lvl w:ilvl="2" w:tplc="15F6CC88">
      <w:numFmt w:val="bullet"/>
      <w:lvlText w:val="•"/>
      <w:lvlJc w:val="left"/>
      <w:pPr>
        <w:ind w:left="2924" w:hanging="308"/>
      </w:pPr>
      <w:rPr>
        <w:rFonts w:hint="default"/>
        <w:lang w:val="en-US" w:eastAsia="en-US" w:bidi="en-US"/>
      </w:rPr>
    </w:lvl>
    <w:lvl w:ilvl="3" w:tplc="F9C6EDE4">
      <w:numFmt w:val="bullet"/>
      <w:lvlText w:val="•"/>
      <w:lvlJc w:val="left"/>
      <w:pPr>
        <w:ind w:left="3796" w:hanging="308"/>
      </w:pPr>
      <w:rPr>
        <w:rFonts w:hint="default"/>
        <w:lang w:val="en-US" w:eastAsia="en-US" w:bidi="en-US"/>
      </w:rPr>
    </w:lvl>
    <w:lvl w:ilvl="4" w:tplc="D93A1C0C">
      <w:numFmt w:val="bullet"/>
      <w:lvlText w:val="•"/>
      <w:lvlJc w:val="left"/>
      <w:pPr>
        <w:ind w:left="4668" w:hanging="308"/>
      </w:pPr>
      <w:rPr>
        <w:rFonts w:hint="default"/>
        <w:lang w:val="en-US" w:eastAsia="en-US" w:bidi="en-US"/>
      </w:rPr>
    </w:lvl>
    <w:lvl w:ilvl="5" w:tplc="7C5C674A">
      <w:numFmt w:val="bullet"/>
      <w:lvlText w:val="•"/>
      <w:lvlJc w:val="left"/>
      <w:pPr>
        <w:ind w:left="5540" w:hanging="308"/>
      </w:pPr>
      <w:rPr>
        <w:rFonts w:hint="default"/>
        <w:lang w:val="en-US" w:eastAsia="en-US" w:bidi="en-US"/>
      </w:rPr>
    </w:lvl>
    <w:lvl w:ilvl="6" w:tplc="FCF60A80">
      <w:numFmt w:val="bullet"/>
      <w:lvlText w:val="•"/>
      <w:lvlJc w:val="left"/>
      <w:pPr>
        <w:ind w:left="6412" w:hanging="308"/>
      </w:pPr>
      <w:rPr>
        <w:rFonts w:hint="default"/>
        <w:lang w:val="en-US" w:eastAsia="en-US" w:bidi="en-US"/>
      </w:rPr>
    </w:lvl>
    <w:lvl w:ilvl="7" w:tplc="24B6B0D6">
      <w:numFmt w:val="bullet"/>
      <w:lvlText w:val="•"/>
      <w:lvlJc w:val="left"/>
      <w:pPr>
        <w:ind w:left="7284" w:hanging="308"/>
      </w:pPr>
      <w:rPr>
        <w:rFonts w:hint="default"/>
        <w:lang w:val="en-US" w:eastAsia="en-US" w:bidi="en-US"/>
      </w:rPr>
    </w:lvl>
    <w:lvl w:ilvl="8" w:tplc="A2B6BA32">
      <w:numFmt w:val="bullet"/>
      <w:lvlText w:val="•"/>
      <w:lvlJc w:val="left"/>
      <w:pPr>
        <w:ind w:left="8156" w:hanging="30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23"/>
    <w:rsid w:val="00015E40"/>
    <w:rsid w:val="00030CD0"/>
    <w:rsid w:val="000A5A6F"/>
    <w:rsid w:val="000B7B06"/>
    <w:rsid w:val="000D3834"/>
    <w:rsid w:val="00107A40"/>
    <w:rsid w:val="001252A7"/>
    <w:rsid w:val="001A255B"/>
    <w:rsid w:val="002062BF"/>
    <w:rsid w:val="002A2E00"/>
    <w:rsid w:val="002D1906"/>
    <w:rsid w:val="003D6659"/>
    <w:rsid w:val="003E5280"/>
    <w:rsid w:val="00412E23"/>
    <w:rsid w:val="00443DF4"/>
    <w:rsid w:val="004627D4"/>
    <w:rsid w:val="00493275"/>
    <w:rsid w:val="004F3146"/>
    <w:rsid w:val="004F39F9"/>
    <w:rsid w:val="0052643A"/>
    <w:rsid w:val="005B6F04"/>
    <w:rsid w:val="005D4731"/>
    <w:rsid w:val="005E17DC"/>
    <w:rsid w:val="00616941"/>
    <w:rsid w:val="006230E6"/>
    <w:rsid w:val="006544B6"/>
    <w:rsid w:val="0069655E"/>
    <w:rsid w:val="006F5157"/>
    <w:rsid w:val="0070378A"/>
    <w:rsid w:val="00715DDC"/>
    <w:rsid w:val="007A6F36"/>
    <w:rsid w:val="007B5EB4"/>
    <w:rsid w:val="007D014E"/>
    <w:rsid w:val="008700BE"/>
    <w:rsid w:val="008A38E0"/>
    <w:rsid w:val="008C25D1"/>
    <w:rsid w:val="008D01C8"/>
    <w:rsid w:val="00925AF5"/>
    <w:rsid w:val="009279C8"/>
    <w:rsid w:val="009338B8"/>
    <w:rsid w:val="009A57D4"/>
    <w:rsid w:val="00A17B65"/>
    <w:rsid w:val="00A24888"/>
    <w:rsid w:val="00AC5366"/>
    <w:rsid w:val="00B13664"/>
    <w:rsid w:val="00B25C13"/>
    <w:rsid w:val="00B47160"/>
    <w:rsid w:val="00B5616C"/>
    <w:rsid w:val="00BA040C"/>
    <w:rsid w:val="00BB3E7A"/>
    <w:rsid w:val="00BD3811"/>
    <w:rsid w:val="00CA427C"/>
    <w:rsid w:val="00CC6321"/>
    <w:rsid w:val="00CE2A27"/>
    <w:rsid w:val="00D1280B"/>
    <w:rsid w:val="00D27A79"/>
    <w:rsid w:val="00E04A5F"/>
    <w:rsid w:val="00E058FE"/>
    <w:rsid w:val="00E37FBF"/>
    <w:rsid w:val="00E412D9"/>
    <w:rsid w:val="00E82908"/>
    <w:rsid w:val="00E9282D"/>
    <w:rsid w:val="00FA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CFF88"/>
  <w15:docId w15:val="{C5967C1A-3D01-43C7-9BE5-AF3ECB87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60"/>
      <w:outlineLvl w:val="0"/>
    </w:pPr>
    <w:rPr>
      <w:rFonts w:ascii="CarlHartmann" w:eastAsia="CarlHartmann" w:hAnsi="CarlHartmann" w:cs="CarlHartmann"/>
      <w:sz w:val="72"/>
      <w:szCs w:val="72"/>
    </w:rPr>
  </w:style>
  <w:style w:type="paragraph" w:styleId="Heading2">
    <w:name w:val="heading 2"/>
    <w:basedOn w:val="Normal"/>
    <w:uiPriority w:val="1"/>
    <w:qFormat/>
    <w:pPr>
      <w:ind w:left="160"/>
      <w:outlineLvl w:val="1"/>
    </w:pPr>
    <w:rPr>
      <w:b/>
      <w:bCs/>
      <w:sz w:val="24"/>
      <w:szCs w:val="24"/>
    </w:rPr>
  </w:style>
  <w:style w:type="paragraph" w:styleId="Heading3">
    <w:name w:val="heading 3"/>
    <w:basedOn w:val="Normal"/>
    <w:uiPriority w:val="1"/>
    <w:qFormat/>
    <w:pPr>
      <w:ind w:left="1187" w:hanging="307"/>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7" w:hanging="3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DF4"/>
    <w:pPr>
      <w:tabs>
        <w:tab w:val="center" w:pos="4680"/>
        <w:tab w:val="right" w:pos="9360"/>
      </w:tabs>
    </w:pPr>
  </w:style>
  <w:style w:type="character" w:customStyle="1" w:styleId="HeaderChar">
    <w:name w:val="Header Char"/>
    <w:basedOn w:val="DefaultParagraphFont"/>
    <w:link w:val="Header"/>
    <w:uiPriority w:val="99"/>
    <w:rsid w:val="00443DF4"/>
    <w:rPr>
      <w:rFonts w:ascii="Arial" w:eastAsia="Arial" w:hAnsi="Arial" w:cs="Arial"/>
      <w:lang w:bidi="en-US"/>
    </w:rPr>
  </w:style>
  <w:style w:type="paragraph" w:styleId="Footer">
    <w:name w:val="footer"/>
    <w:basedOn w:val="Normal"/>
    <w:link w:val="FooterChar"/>
    <w:uiPriority w:val="99"/>
    <w:unhideWhenUsed/>
    <w:rsid w:val="00443DF4"/>
    <w:pPr>
      <w:tabs>
        <w:tab w:val="center" w:pos="4680"/>
        <w:tab w:val="right" w:pos="9360"/>
      </w:tabs>
    </w:pPr>
  </w:style>
  <w:style w:type="character" w:customStyle="1" w:styleId="FooterChar">
    <w:name w:val="Footer Char"/>
    <w:basedOn w:val="DefaultParagraphFont"/>
    <w:link w:val="Footer"/>
    <w:uiPriority w:val="99"/>
    <w:rsid w:val="00443DF4"/>
    <w:rPr>
      <w:rFonts w:ascii="Arial" w:eastAsia="Arial" w:hAnsi="Arial" w:cs="Arial"/>
      <w:lang w:bidi="en-US"/>
    </w:rPr>
  </w:style>
  <w:style w:type="paragraph" w:styleId="FootnoteText">
    <w:name w:val="footnote text"/>
    <w:basedOn w:val="Normal"/>
    <w:link w:val="FootnoteTextChar"/>
    <w:uiPriority w:val="99"/>
    <w:semiHidden/>
    <w:unhideWhenUsed/>
    <w:rsid w:val="006230E6"/>
    <w:rPr>
      <w:sz w:val="20"/>
      <w:szCs w:val="20"/>
    </w:rPr>
  </w:style>
  <w:style w:type="character" w:customStyle="1" w:styleId="FootnoteTextChar">
    <w:name w:val="Footnote Text Char"/>
    <w:basedOn w:val="DefaultParagraphFont"/>
    <w:link w:val="FootnoteText"/>
    <w:uiPriority w:val="99"/>
    <w:semiHidden/>
    <w:rsid w:val="006230E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6230E6"/>
    <w:rPr>
      <w:vertAlign w:val="superscript"/>
    </w:rPr>
  </w:style>
  <w:style w:type="paragraph" w:styleId="BalloonText">
    <w:name w:val="Balloon Text"/>
    <w:basedOn w:val="Normal"/>
    <w:link w:val="BalloonTextChar"/>
    <w:uiPriority w:val="99"/>
    <w:semiHidden/>
    <w:unhideWhenUsed/>
    <w:rsid w:val="00CC6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321"/>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37411">
      <w:bodyDiv w:val="1"/>
      <w:marLeft w:val="0"/>
      <w:marRight w:val="0"/>
      <w:marTop w:val="0"/>
      <w:marBottom w:val="0"/>
      <w:divBdr>
        <w:top w:val="none" w:sz="0" w:space="0" w:color="auto"/>
        <w:left w:val="none" w:sz="0" w:space="0" w:color="auto"/>
        <w:bottom w:val="none" w:sz="0" w:space="0" w:color="auto"/>
        <w:right w:val="none" w:sz="0" w:space="0" w:color="auto"/>
      </w:divBdr>
      <w:divsChild>
        <w:div w:id="888227512">
          <w:marLeft w:val="0"/>
          <w:marRight w:val="0"/>
          <w:marTop w:val="0"/>
          <w:marBottom w:val="0"/>
          <w:divBdr>
            <w:top w:val="none" w:sz="0" w:space="0" w:color="auto"/>
            <w:left w:val="none" w:sz="0" w:space="0" w:color="auto"/>
            <w:bottom w:val="none" w:sz="0" w:space="0" w:color="auto"/>
            <w:right w:val="none" w:sz="0" w:space="0" w:color="auto"/>
          </w:divBdr>
          <w:divsChild>
            <w:div w:id="1402092863">
              <w:marLeft w:val="0"/>
              <w:marRight w:val="0"/>
              <w:marTop w:val="0"/>
              <w:marBottom w:val="0"/>
              <w:divBdr>
                <w:top w:val="none" w:sz="0" w:space="0" w:color="auto"/>
                <w:left w:val="none" w:sz="0" w:space="0" w:color="auto"/>
                <w:bottom w:val="none" w:sz="0" w:space="0" w:color="auto"/>
                <w:right w:val="none" w:sz="0" w:space="0" w:color="auto"/>
              </w:divBdr>
              <w:divsChild>
                <w:div w:id="671571825">
                  <w:marLeft w:val="0"/>
                  <w:marRight w:val="0"/>
                  <w:marTop w:val="0"/>
                  <w:marBottom w:val="0"/>
                  <w:divBdr>
                    <w:top w:val="none" w:sz="0" w:space="0" w:color="auto"/>
                    <w:left w:val="none" w:sz="0" w:space="0" w:color="auto"/>
                    <w:bottom w:val="none" w:sz="0" w:space="0" w:color="auto"/>
                    <w:right w:val="none" w:sz="0" w:space="0" w:color="auto"/>
                  </w:divBdr>
                  <w:divsChild>
                    <w:div w:id="497309403">
                      <w:marLeft w:val="0"/>
                      <w:marRight w:val="0"/>
                      <w:marTop w:val="0"/>
                      <w:marBottom w:val="0"/>
                      <w:divBdr>
                        <w:top w:val="none" w:sz="0" w:space="0" w:color="auto"/>
                        <w:left w:val="none" w:sz="0" w:space="0" w:color="auto"/>
                        <w:bottom w:val="none" w:sz="0" w:space="0" w:color="auto"/>
                        <w:right w:val="none" w:sz="0" w:space="0" w:color="auto"/>
                      </w:divBdr>
                    </w:div>
                  </w:divsChild>
                </w:div>
                <w:div w:id="1029987962">
                  <w:marLeft w:val="0"/>
                  <w:marRight w:val="0"/>
                  <w:marTop w:val="0"/>
                  <w:marBottom w:val="0"/>
                  <w:divBdr>
                    <w:top w:val="none" w:sz="0" w:space="0" w:color="auto"/>
                    <w:left w:val="none" w:sz="0" w:space="0" w:color="auto"/>
                    <w:bottom w:val="none" w:sz="0" w:space="0" w:color="auto"/>
                    <w:right w:val="none" w:sz="0" w:space="0" w:color="auto"/>
                  </w:divBdr>
                  <w:divsChild>
                    <w:div w:id="601453457">
                      <w:marLeft w:val="0"/>
                      <w:marRight w:val="0"/>
                      <w:marTop w:val="0"/>
                      <w:marBottom w:val="0"/>
                      <w:divBdr>
                        <w:top w:val="none" w:sz="0" w:space="0" w:color="auto"/>
                        <w:left w:val="none" w:sz="0" w:space="0" w:color="auto"/>
                        <w:bottom w:val="none" w:sz="0" w:space="0" w:color="auto"/>
                        <w:right w:val="none" w:sz="0" w:space="0" w:color="auto"/>
                      </w:divBdr>
                    </w:div>
                  </w:divsChild>
                </w:div>
                <w:div w:id="3092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5759">
      <w:bodyDiv w:val="1"/>
      <w:marLeft w:val="0"/>
      <w:marRight w:val="0"/>
      <w:marTop w:val="0"/>
      <w:marBottom w:val="0"/>
      <w:divBdr>
        <w:top w:val="none" w:sz="0" w:space="0" w:color="auto"/>
        <w:left w:val="none" w:sz="0" w:space="0" w:color="auto"/>
        <w:bottom w:val="none" w:sz="0" w:space="0" w:color="auto"/>
        <w:right w:val="none" w:sz="0" w:space="0" w:color="auto"/>
      </w:divBdr>
    </w:div>
    <w:div w:id="883954203">
      <w:bodyDiv w:val="1"/>
      <w:marLeft w:val="0"/>
      <w:marRight w:val="0"/>
      <w:marTop w:val="0"/>
      <w:marBottom w:val="0"/>
      <w:divBdr>
        <w:top w:val="none" w:sz="0" w:space="0" w:color="auto"/>
        <w:left w:val="none" w:sz="0" w:space="0" w:color="auto"/>
        <w:bottom w:val="none" w:sz="0" w:space="0" w:color="auto"/>
        <w:right w:val="none" w:sz="0" w:space="0" w:color="auto"/>
      </w:divBdr>
      <w:divsChild>
        <w:div w:id="1591501659">
          <w:marLeft w:val="0"/>
          <w:marRight w:val="0"/>
          <w:marTop w:val="0"/>
          <w:marBottom w:val="0"/>
          <w:divBdr>
            <w:top w:val="none" w:sz="0" w:space="0" w:color="auto"/>
            <w:left w:val="none" w:sz="0" w:space="0" w:color="auto"/>
            <w:bottom w:val="none" w:sz="0" w:space="0" w:color="auto"/>
            <w:right w:val="none" w:sz="0" w:space="0" w:color="auto"/>
          </w:divBdr>
          <w:divsChild>
            <w:div w:id="219369396">
              <w:marLeft w:val="0"/>
              <w:marRight w:val="0"/>
              <w:marTop w:val="0"/>
              <w:marBottom w:val="0"/>
              <w:divBdr>
                <w:top w:val="none" w:sz="0" w:space="0" w:color="auto"/>
                <w:left w:val="none" w:sz="0" w:space="0" w:color="auto"/>
                <w:bottom w:val="none" w:sz="0" w:space="0" w:color="auto"/>
                <w:right w:val="none" w:sz="0" w:space="0" w:color="auto"/>
              </w:divBdr>
              <w:divsChild>
                <w:div w:id="1326981128">
                  <w:marLeft w:val="0"/>
                  <w:marRight w:val="0"/>
                  <w:marTop w:val="240"/>
                  <w:marBottom w:val="0"/>
                  <w:divBdr>
                    <w:top w:val="none" w:sz="0" w:space="0" w:color="auto"/>
                    <w:left w:val="none" w:sz="0" w:space="0" w:color="auto"/>
                    <w:bottom w:val="none" w:sz="0" w:space="0" w:color="auto"/>
                    <w:right w:val="none" w:sz="0" w:space="0" w:color="auto"/>
                  </w:divBdr>
                </w:div>
                <w:div w:id="222258622">
                  <w:marLeft w:val="0"/>
                  <w:marRight w:val="0"/>
                  <w:marTop w:val="0"/>
                  <w:marBottom w:val="0"/>
                  <w:divBdr>
                    <w:top w:val="none" w:sz="0" w:space="0" w:color="auto"/>
                    <w:left w:val="none" w:sz="0" w:space="0" w:color="auto"/>
                    <w:bottom w:val="none" w:sz="0" w:space="0" w:color="auto"/>
                    <w:right w:val="none" w:sz="0" w:space="0" w:color="auto"/>
                  </w:divBdr>
                  <w:divsChild>
                    <w:div w:id="1652179209">
                      <w:marLeft w:val="0"/>
                      <w:marRight w:val="0"/>
                      <w:marTop w:val="0"/>
                      <w:marBottom w:val="0"/>
                      <w:divBdr>
                        <w:top w:val="none" w:sz="0" w:space="0" w:color="auto"/>
                        <w:left w:val="none" w:sz="0" w:space="0" w:color="auto"/>
                        <w:bottom w:val="none" w:sz="0" w:space="0" w:color="auto"/>
                        <w:right w:val="none" w:sz="0" w:space="0" w:color="auto"/>
                      </w:divBdr>
                    </w:div>
                  </w:divsChild>
                </w:div>
                <w:div w:id="1072117797">
                  <w:marLeft w:val="0"/>
                  <w:marRight w:val="0"/>
                  <w:marTop w:val="0"/>
                  <w:marBottom w:val="0"/>
                  <w:divBdr>
                    <w:top w:val="none" w:sz="0" w:space="0" w:color="auto"/>
                    <w:left w:val="none" w:sz="0" w:space="0" w:color="auto"/>
                    <w:bottom w:val="none" w:sz="0" w:space="0" w:color="auto"/>
                    <w:right w:val="none" w:sz="0" w:space="0" w:color="auto"/>
                  </w:divBdr>
                  <w:divsChild>
                    <w:div w:id="1625456053">
                      <w:marLeft w:val="0"/>
                      <w:marRight w:val="0"/>
                      <w:marTop w:val="0"/>
                      <w:marBottom w:val="0"/>
                      <w:divBdr>
                        <w:top w:val="none" w:sz="0" w:space="0" w:color="auto"/>
                        <w:left w:val="none" w:sz="0" w:space="0" w:color="auto"/>
                        <w:bottom w:val="none" w:sz="0" w:space="0" w:color="auto"/>
                        <w:right w:val="none" w:sz="0" w:space="0" w:color="auto"/>
                      </w:divBdr>
                    </w:div>
                  </w:divsChild>
                </w:div>
                <w:div w:id="887492185">
                  <w:marLeft w:val="0"/>
                  <w:marRight w:val="0"/>
                  <w:marTop w:val="0"/>
                  <w:marBottom w:val="0"/>
                  <w:divBdr>
                    <w:top w:val="none" w:sz="0" w:space="0" w:color="auto"/>
                    <w:left w:val="none" w:sz="0" w:space="0" w:color="auto"/>
                    <w:bottom w:val="none" w:sz="0" w:space="0" w:color="auto"/>
                    <w:right w:val="none" w:sz="0" w:space="0" w:color="auto"/>
                  </w:divBdr>
                  <w:divsChild>
                    <w:div w:id="62146851">
                      <w:marLeft w:val="0"/>
                      <w:marRight w:val="0"/>
                      <w:marTop w:val="0"/>
                      <w:marBottom w:val="0"/>
                      <w:divBdr>
                        <w:top w:val="none" w:sz="0" w:space="0" w:color="auto"/>
                        <w:left w:val="none" w:sz="0" w:space="0" w:color="auto"/>
                        <w:bottom w:val="none" w:sz="0" w:space="0" w:color="auto"/>
                        <w:right w:val="none" w:sz="0" w:space="0" w:color="auto"/>
                      </w:divBdr>
                    </w:div>
                    <w:div w:id="880746543">
                      <w:marLeft w:val="0"/>
                      <w:marRight w:val="0"/>
                      <w:marTop w:val="0"/>
                      <w:marBottom w:val="0"/>
                      <w:divBdr>
                        <w:top w:val="none" w:sz="0" w:space="0" w:color="auto"/>
                        <w:left w:val="none" w:sz="0" w:space="0" w:color="auto"/>
                        <w:bottom w:val="none" w:sz="0" w:space="0" w:color="auto"/>
                        <w:right w:val="none" w:sz="0" w:space="0" w:color="auto"/>
                      </w:divBdr>
                      <w:divsChild>
                        <w:div w:id="1142045148">
                          <w:marLeft w:val="0"/>
                          <w:marRight w:val="0"/>
                          <w:marTop w:val="0"/>
                          <w:marBottom w:val="0"/>
                          <w:divBdr>
                            <w:top w:val="none" w:sz="0" w:space="0" w:color="auto"/>
                            <w:left w:val="none" w:sz="0" w:space="0" w:color="auto"/>
                            <w:bottom w:val="none" w:sz="0" w:space="0" w:color="auto"/>
                            <w:right w:val="none" w:sz="0" w:space="0" w:color="auto"/>
                          </w:divBdr>
                          <w:divsChild>
                            <w:div w:id="198496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7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48650">
                  <w:marLeft w:val="0"/>
                  <w:marRight w:val="0"/>
                  <w:marTop w:val="0"/>
                  <w:marBottom w:val="0"/>
                  <w:divBdr>
                    <w:top w:val="none" w:sz="0" w:space="0" w:color="auto"/>
                    <w:left w:val="none" w:sz="0" w:space="0" w:color="auto"/>
                    <w:bottom w:val="none" w:sz="0" w:space="0" w:color="auto"/>
                    <w:right w:val="none" w:sz="0" w:space="0" w:color="auto"/>
                  </w:divBdr>
                  <w:divsChild>
                    <w:div w:id="1746219219">
                      <w:marLeft w:val="0"/>
                      <w:marRight w:val="0"/>
                      <w:marTop w:val="0"/>
                      <w:marBottom w:val="0"/>
                      <w:divBdr>
                        <w:top w:val="none" w:sz="0" w:space="0" w:color="auto"/>
                        <w:left w:val="none" w:sz="0" w:space="0" w:color="auto"/>
                        <w:bottom w:val="none" w:sz="0" w:space="0" w:color="auto"/>
                        <w:right w:val="none" w:sz="0" w:space="0" w:color="auto"/>
                      </w:divBdr>
                    </w:div>
                    <w:div w:id="737749360">
                      <w:marLeft w:val="0"/>
                      <w:marRight w:val="0"/>
                      <w:marTop w:val="0"/>
                      <w:marBottom w:val="0"/>
                      <w:divBdr>
                        <w:top w:val="none" w:sz="0" w:space="0" w:color="auto"/>
                        <w:left w:val="none" w:sz="0" w:space="0" w:color="auto"/>
                        <w:bottom w:val="none" w:sz="0" w:space="0" w:color="auto"/>
                        <w:right w:val="none" w:sz="0" w:space="0" w:color="auto"/>
                      </w:divBdr>
                      <w:divsChild>
                        <w:div w:id="672074026">
                          <w:marLeft w:val="0"/>
                          <w:marRight w:val="0"/>
                          <w:marTop w:val="0"/>
                          <w:marBottom w:val="0"/>
                          <w:divBdr>
                            <w:top w:val="none" w:sz="0" w:space="0" w:color="auto"/>
                            <w:left w:val="none" w:sz="0" w:space="0" w:color="auto"/>
                            <w:bottom w:val="none" w:sz="0" w:space="0" w:color="auto"/>
                            <w:right w:val="none" w:sz="0" w:space="0" w:color="auto"/>
                          </w:divBdr>
                        </w:div>
                      </w:divsChild>
                    </w:div>
                    <w:div w:id="82844297">
                      <w:marLeft w:val="0"/>
                      <w:marRight w:val="0"/>
                      <w:marTop w:val="0"/>
                      <w:marBottom w:val="0"/>
                      <w:divBdr>
                        <w:top w:val="none" w:sz="0" w:space="0" w:color="auto"/>
                        <w:left w:val="none" w:sz="0" w:space="0" w:color="auto"/>
                        <w:bottom w:val="none" w:sz="0" w:space="0" w:color="auto"/>
                        <w:right w:val="none" w:sz="0" w:space="0" w:color="auto"/>
                      </w:divBdr>
                      <w:divsChild>
                        <w:div w:id="1253854834">
                          <w:marLeft w:val="0"/>
                          <w:marRight w:val="0"/>
                          <w:marTop w:val="0"/>
                          <w:marBottom w:val="0"/>
                          <w:divBdr>
                            <w:top w:val="none" w:sz="0" w:space="0" w:color="auto"/>
                            <w:left w:val="none" w:sz="0" w:space="0" w:color="auto"/>
                            <w:bottom w:val="none" w:sz="0" w:space="0" w:color="auto"/>
                            <w:right w:val="none" w:sz="0" w:space="0" w:color="auto"/>
                          </w:divBdr>
                        </w:div>
                      </w:divsChild>
                    </w:div>
                    <w:div w:id="2032416043">
                      <w:marLeft w:val="0"/>
                      <w:marRight w:val="0"/>
                      <w:marTop w:val="0"/>
                      <w:marBottom w:val="0"/>
                      <w:divBdr>
                        <w:top w:val="none" w:sz="0" w:space="0" w:color="auto"/>
                        <w:left w:val="none" w:sz="0" w:space="0" w:color="auto"/>
                        <w:bottom w:val="none" w:sz="0" w:space="0" w:color="auto"/>
                        <w:right w:val="none" w:sz="0" w:space="0" w:color="auto"/>
                      </w:divBdr>
                      <w:divsChild>
                        <w:div w:id="2055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467">
                  <w:marLeft w:val="0"/>
                  <w:marRight w:val="0"/>
                  <w:marTop w:val="0"/>
                  <w:marBottom w:val="0"/>
                  <w:divBdr>
                    <w:top w:val="none" w:sz="0" w:space="0" w:color="auto"/>
                    <w:left w:val="none" w:sz="0" w:space="0" w:color="auto"/>
                    <w:bottom w:val="none" w:sz="0" w:space="0" w:color="auto"/>
                    <w:right w:val="none" w:sz="0" w:space="0" w:color="auto"/>
                  </w:divBdr>
                  <w:divsChild>
                    <w:div w:id="199518638">
                      <w:marLeft w:val="0"/>
                      <w:marRight w:val="0"/>
                      <w:marTop w:val="0"/>
                      <w:marBottom w:val="0"/>
                      <w:divBdr>
                        <w:top w:val="none" w:sz="0" w:space="0" w:color="auto"/>
                        <w:left w:val="none" w:sz="0" w:space="0" w:color="auto"/>
                        <w:bottom w:val="none" w:sz="0" w:space="0" w:color="auto"/>
                        <w:right w:val="none" w:sz="0" w:space="0" w:color="auto"/>
                      </w:divBdr>
                    </w:div>
                  </w:divsChild>
                </w:div>
                <w:div w:id="5956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5749">
      <w:bodyDiv w:val="1"/>
      <w:marLeft w:val="0"/>
      <w:marRight w:val="0"/>
      <w:marTop w:val="0"/>
      <w:marBottom w:val="0"/>
      <w:divBdr>
        <w:top w:val="none" w:sz="0" w:space="0" w:color="auto"/>
        <w:left w:val="none" w:sz="0" w:space="0" w:color="auto"/>
        <w:bottom w:val="none" w:sz="0" w:space="0" w:color="auto"/>
        <w:right w:val="none" w:sz="0" w:space="0" w:color="auto"/>
      </w:divBdr>
      <w:divsChild>
        <w:div w:id="1633435334">
          <w:marLeft w:val="0"/>
          <w:marRight w:val="0"/>
          <w:marTop w:val="0"/>
          <w:marBottom w:val="0"/>
          <w:divBdr>
            <w:top w:val="none" w:sz="0" w:space="0" w:color="auto"/>
            <w:left w:val="none" w:sz="0" w:space="0" w:color="auto"/>
            <w:bottom w:val="none" w:sz="0" w:space="0" w:color="auto"/>
            <w:right w:val="none" w:sz="0" w:space="0" w:color="auto"/>
          </w:divBdr>
          <w:divsChild>
            <w:div w:id="403651397">
              <w:marLeft w:val="0"/>
              <w:marRight w:val="0"/>
              <w:marTop w:val="0"/>
              <w:marBottom w:val="0"/>
              <w:divBdr>
                <w:top w:val="none" w:sz="0" w:space="0" w:color="auto"/>
                <w:left w:val="none" w:sz="0" w:space="0" w:color="auto"/>
                <w:bottom w:val="none" w:sz="0" w:space="0" w:color="auto"/>
                <w:right w:val="none" w:sz="0" w:space="0" w:color="auto"/>
              </w:divBdr>
              <w:divsChild>
                <w:div w:id="1033965797">
                  <w:marLeft w:val="0"/>
                  <w:marRight w:val="0"/>
                  <w:marTop w:val="0"/>
                  <w:marBottom w:val="0"/>
                  <w:divBdr>
                    <w:top w:val="none" w:sz="0" w:space="0" w:color="auto"/>
                    <w:left w:val="none" w:sz="0" w:space="0" w:color="auto"/>
                    <w:bottom w:val="none" w:sz="0" w:space="0" w:color="auto"/>
                    <w:right w:val="none" w:sz="0" w:space="0" w:color="auto"/>
                  </w:divBdr>
                  <w:divsChild>
                    <w:div w:id="1558593542">
                      <w:marLeft w:val="0"/>
                      <w:marRight w:val="0"/>
                      <w:marTop w:val="0"/>
                      <w:marBottom w:val="0"/>
                      <w:divBdr>
                        <w:top w:val="none" w:sz="0" w:space="0" w:color="auto"/>
                        <w:left w:val="none" w:sz="0" w:space="0" w:color="auto"/>
                        <w:bottom w:val="none" w:sz="0" w:space="0" w:color="auto"/>
                        <w:right w:val="none" w:sz="0" w:space="0" w:color="auto"/>
                      </w:divBdr>
                    </w:div>
                  </w:divsChild>
                </w:div>
                <w:div w:id="456410419">
                  <w:marLeft w:val="0"/>
                  <w:marRight w:val="0"/>
                  <w:marTop w:val="0"/>
                  <w:marBottom w:val="0"/>
                  <w:divBdr>
                    <w:top w:val="none" w:sz="0" w:space="0" w:color="auto"/>
                    <w:left w:val="none" w:sz="0" w:space="0" w:color="auto"/>
                    <w:bottom w:val="none" w:sz="0" w:space="0" w:color="auto"/>
                    <w:right w:val="none" w:sz="0" w:space="0" w:color="auto"/>
                  </w:divBdr>
                  <w:divsChild>
                    <w:div w:id="840121199">
                      <w:marLeft w:val="0"/>
                      <w:marRight w:val="0"/>
                      <w:marTop w:val="0"/>
                      <w:marBottom w:val="0"/>
                      <w:divBdr>
                        <w:top w:val="none" w:sz="0" w:space="0" w:color="auto"/>
                        <w:left w:val="none" w:sz="0" w:space="0" w:color="auto"/>
                        <w:bottom w:val="none" w:sz="0" w:space="0" w:color="auto"/>
                        <w:right w:val="none" w:sz="0" w:space="0" w:color="auto"/>
                      </w:divBdr>
                    </w:div>
                  </w:divsChild>
                </w:div>
                <w:div w:id="10988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effreymlaw@yahoo.com" TargetMode="External"/><Relationship Id="rId3" Type="http://schemas.openxmlformats.org/officeDocument/2006/relationships/settings" Target="settings.xml"/><Relationship Id="rId7" Type="http://schemas.openxmlformats.org/officeDocument/2006/relationships/hyperlink" Target="mailto:carl@carlhartmann.com" TargetMode="External"/><Relationship Id="rId12" Type="http://schemas.openxmlformats.org/officeDocument/2006/relationships/hyperlink" Target="mailto:mark@markeck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odges@dtflaw.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garrossjudge@hot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1945</Words>
  <Characters>9845</Characters>
  <Application>Microsoft Office Word</Application>
  <DocSecurity>0</DocSecurity>
  <Lines>273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5</cp:revision>
  <dcterms:created xsi:type="dcterms:W3CDTF">2018-05-25T17:43:00Z</dcterms:created>
  <dcterms:modified xsi:type="dcterms:W3CDTF">2018-05-25T19:37:00Z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Acrobat PDFMaker 18 for Word</vt:lpwstr>
  </property>
  <property fmtid="{D5CDD505-2E9C-101B-9397-08002B2CF9AE}" pid="4" name="LastSaved">
    <vt:filetime>2018-05-25T00:00:00Z</vt:filetime>
  </property>
</Properties>
</file>